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SYN-26-00179</w:t>
      </w:r>
    </w:p>
    <w:p>
      <w:r>
        <w:t xml:space="preserve">Subject: Breach of the facility management service agreement</w:t>
      </w:r>
    </w:p>
    <w:p>
      <w:r>
        <w:t xml:space="preserve">On behalf of: Aldenmere Foods SA</w:t>
      </w:r>
    </w:p>
    <w:p>
      <w:r>
        <w:t xml:space="preserve">Opposing party: Silverbirch Interiors NV</w:t>
      </w:r>
    </w:p>
    <w:p>
      <w:r>
        <w:t xml:space="preserve">Jurisdiction: Antwerp Enterprise Court</w:t>
      </w:r>
    </w:p>
    <w:p>
      <w:r>
        <w:t xml:space="preserve"/>
      </w:r>
    </w:p>
    <w:p>
      <w:r>
        <w:t xml:space="preserve">Aldenmere Foods SA and Silverbirch Interiors NV signed a facility management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the facts: 10.02.2026</w:t>
      </w:r>
    </w:p>
    <w:p>
      <w:r>
        <w:t xml:space="preserve">Notice date: 27.03.2026</w:t>
      </w:r>
    </w:p>
    <w:p>
      <w:r>
        <w:t xml:space="preserve">Reply by: 17.04.2026</w:t>
      </w:r>
    </w:p>
    <w:p>
      <w:r>
        <w:t xml:space="preserve">Hearing date: 21.05.2026</w:t>
      </w:r>
    </w:p>
    <w:p>
      <w:r>
        <w:t xml:space="preserve">Amount claimed: 4 802,00 euros</w:t>
      </w:r>
    </w:p>
    <w:p>
      <w:r>
        <w:t xml:space="preserve">Late interest: 349,02 euros</w:t>
      </w:r>
    </w:p>
    <w:p>
      <w:r>
        <w:t xml:space="preserve">Contractual penalty: 480,20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