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SYN-26-00185</w:t>
      </w:r>
    </w:p>
    <w:p>
      <w:r>
        <w:t xml:space="preserve">Matter: Notice period dispute</w:t>
      </w:r>
    </w:p>
    <w:p>
      <w:r>
        <w:t xml:space="preserve">Client: Maxime Halvorn</w:t>
      </w:r>
    </w:p>
    <w:p>
      <w:r>
        <w:t xml:space="preserve">Respondent: Harbourline Consulting SA</w:t>
      </w:r>
    </w:p>
    <w:p>
      <w:r>
        <w:t xml:space="preserve"/>
      </w:r>
    </w:p>
    <w:p>
      <w:r>
        <w:t xml:space="preserve">Our client was an employee of Harbourline Consulting SA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>The matter may be brought before the Liege Labour Court.</w:t>
      </w:r>
    </w:p>
    <w:p>
      <w:r>
        <w:t xml:space="preserve"/>
      </w:r>
    </w:p>
    <w:p>
      <w:r>
        <w:t xml:space="preserve">Date of incident: 28/12/2025</w:t>
      </w:r>
    </w:p>
    <w:p>
      <w:r>
        <w:t xml:space="preserve">Notice date: 07/01/2026</w:t>
      </w:r>
    </w:p>
    <w:p>
      <w:r>
        <w:t xml:space="preserve">Reply by: 28/01/2026</w:t>
      </w:r>
    </w:p>
    <w:p>
      <w:r>
        <w:t xml:space="preserve">Hearing date: 10/04/2026</w:t>
      </w:r>
    </w:p>
    <w:p>
      <w:r>
        <w:t xml:space="preserve">Amount claimed: € 14.141,00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