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Reference: SYN-26-00192</w:t>
      </w:r>
    </w:p>
    <w:p>
      <w:r>
        <w:t xml:space="preserve">Matter: Notice period dispute</w:t>
      </w:r>
    </w:p>
    <w:p>
      <w:r>
        <w:t xml:space="preserve">Client: Yannick Dufrasne</w:t>
      </w:r>
    </w:p>
    <w:p>
      <w:r>
        <w:t xml:space="preserve">Opposing party: Silverbirch Studios SA</w:t>
      </w:r>
    </w:p>
    <w:p>
      <w:r>
        <w:t xml:space="preserve">Jurisdiction: Brussels Labour Court</w:t>
      </w:r>
    </w:p>
    <w:p>
      <w:r>
        <w:t xml:space="preserve"/>
      </w:r>
    </w:p>
    <w:p>
      <w:r>
        <w:t xml:space="preserve">Our client was an employee of Silverbirch Studios SA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Date of the facts: 28.12.2025</w:t>
      </w:r>
    </w:p>
    <w:p>
      <w:r>
        <w:t xml:space="preserve">Notice date: 21.02.2026</w:t>
      </w:r>
    </w:p>
    <w:p>
      <w:r>
        <w:t xml:space="preserve">Reply by: 14.03.2026</w:t>
      </w:r>
    </w:p>
    <w:p>
      <w:r>
        <w:t xml:space="preserve">Hearing date: 04.05.2026</w:t>
      </w:r>
    </w:p>
    <w:p>
      <w:r>
        <w:t xml:space="preserve">Amount claimed: 9 456,00 euros</w:t>
      </w:r>
    </w:p>
    <w:p>
      <w:r>
        <w:t xml:space="preserve">Late interest: 572,70 euros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