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Formal notice</w:t>
      </w:r>
    </w:p>
    <w:p>
      <w:r>
        <w:t xml:space="preserve">Our reference: SYN-26-00194</w:t>
      </w:r>
    </w:p>
    <w:p>
      <w:r>
        <w:t xml:space="preserve">Subject: Contested municipal fine</w:t>
      </w:r>
    </w:p>
    <w:p>
      <w:r>
        <w:t xml:space="preserve">Client: Aldenmere Interiors BV</w:t>
      </w:r>
    </w:p>
    <w:p>
      <w:r>
        <w:t xml:space="preserve">Opposing party: Municipality of Orrinford</w:t>
      </w:r>
    </w:p>
    <w:p>
      <w:r>
        <w:t xml:space="preserve">Competent court: Namur Court of First Instance</w:t>
      </w:r>
    </w:p>
    <w:p>
      <w:r>
        <w:t xml:space="preserve"/>
      </w:r>
    </w:p>
    <w:p>
      <w:r>
        <w:t xml:space="preserve">Municipality of Orrinford issued an administrative decision concerning our client.</w:t>
      </w:r>
    </w:p>
    <w:p>
      <w:r>
        <w:t xml:space="preserve">The permit application was refused and a fine was imposed by the public authority.</w:t>
      </w:r>
    </w:p>
    <w:p>
      <w:r>
        <w:t xml:space="preserve">Our client contests the zoning grounds relied upon.</w:t>
      </w:r>
    </w:p>
    <w:p>
      <w:r>
        <w:t xml:space="preserve"/>
      </w:r>
    </w:p>
    <w:p>
      <w:r>
        <w:t xml:space="preserve">Incident date: January 29, 2026</w:t>
      </w:r>
    </w:p>
    <w:p>
      <w:r>
        <w:t xml:space="preserve">Notice date: February 19, 2026</w:t>
      </w:r>
    </w:p>
    <w:p>
      <w:r>
        <w:t xml:space="preserve">Reply by: March 12, 2026</w:t>
      </w:r>
    </w:p>
    <w:p>
      <w:r>
        <w:t xml:space="preserve">Amount claimed: EUR 13,501.00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