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SYN-26-00199</w:t>
      </w:r>
    </w:p>
    <w:p>
      <w:r>
        <w:t xml:space="preserve">Subject: Contested dismissal of an employee</w:t>
      </w:r>
    </w:p>
    <w:p>
      <w:r>
        <w:t xml:space="preserve">On behalf of: Tomas Kellwyn</w:t>
      </w:r>
    </w:p>
    <w:p>
      <w:r>
        <w:t xml:space="preserve">Respondent: Kestrelpoint Studios BV</w:t>
      </w:r>
    </w:p>
    <w:p>
      <w:r>
        <w:t xml:space="preserve">Competent court: Brussels Labour Court</w:t>
      </w:r>
    </w:p>
    <w:p>
      <w:r>
        <w:t xml:space="preserve"/>
      </w:r>
    </w:p>
    <w:p>
      <w:r>
        <w:t xml:space="preserve">Our client was an employee of Kestrelpoint Studios BV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09.03.2026</w:t>
      </w:r>
    </w:p>
    <w:p>
      <w:r>
        <w:t xml:space="preserve">Notice date: 01.04.2026</w:t>
      </w:r>
    </w:p>
    <w:p>
      <w:r>
        <w:t xml:space="preserve">Response deadline: 22.04.2026</w:t>
      </w:r>
    </w:p>
    <w:p>
      <w:r>
        <w:t xml:space="preserve">Principal amount: 4.344,00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