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Our reference: SYN-26-00202</w:t>
      </w:r>
    </w:p>
    <w:p>
      <w:r>
        <w:t xml:space="preserve">Matter: Early termination of the software maintenance contract</w:t>
      </w:r>
    </w:p>
    <w:p>
      <w:r>
        <w:t xml:space="preserve">On behalf of: Brightwater Interiors BV</w:t>
      </w:r>
    </w:p>
    <w:p>
      <w:r>
        <w:t xml:space="preserve">Respondent: Merriton Facilities NV</w:t>
      </w:r>
    </w:p>
    <w:p>
      <w:r>
        <w:t xml:space="preserve">Competent court: Brussels Court of First Instance</w:t>
      </w:r>
    </w:p>
    <w:p>
      <w:r>
        <w:t xml:space="preserve"/>
      </w:r>
    </w:p>
    <w:p>
      <w:r>
        <w:t xml:space="preserve">Brightwater Interiors BV and Merriton Facilities NV signed a software maintenance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Date of incident: 17 April 2026</w:t>
      </w:r>
    </w:p>
    <w:p>
      <w:r>
        <w:t xml:space="preserve">Date of this letter: 8 June 2026</w:t>
      </w:r>
    </w:p>
    <w:p>
      <w:r>
        <w:t xml:space="preserve">Response deadline: 8 July 2026</w:t>
      </w:r>
    </w:p>
    <w:p>
      <w:r>
        <w:t xml:space="preserve">Hearing date: 22 September 2026</w:t>
      </w:r>
    </w:p>
    <w:p>
      <w:r>
        <w:t xml:space="preserve">Amount claimed: € 14.522,00</w:t>
      </w:r>
    </w:p>
    <w:p>
      <w:r>
        <w:t xml:space="preserve">Late interest: € 458,45</w:t>
      </w:r>
    </w:p>
    <w:p>
      <w:r>
        <w:t xml:space="preserve">Contractual penalty: € 1.452,20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