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Our reference: SYN-26-00213</w:t>
      </w:r>
    </w:p>
    <w:p>
      <w:r>
        <w:t xml:space="preserve">Subject: Contested board resolution</w:t>
      </w:r>
    </w:p>
    <w:p>
      <w:r>
        <w:t xml:space="preserve">On behalf of: Aldenmere Print BV</w:t>
      </w:r>
    </w:p>
    <w:p>
      <w:r>
        <w:t xml:space="preserve">Opposing party: Clara Stroobaert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is a shareholder of a company in which Clara Stroobaert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Date of the facts: 2026-02-01</w:t>
      </w:r>
    </w:p>
    <w:p>
      <w:r>
        <w:t xml:space="preserve">Notice date: 2026-03-09</w:t>
      </w:r>
    </w:p>
    <w:p>
      <w:r>
        <w:t xml:space="preserve">Response deadline: 2026-03-30</w:t>
      </w:r>
    </w:p>
    <w:p>
      <w:r>
        <w:t xml:space="preserve">Principal amount: EUR 65,789.00</w:t>
      </w:r>
    </w:p>
    <w:p>
      <w:r>
        <w:t xml:space="preserve">Late interest: EUR 2,956.07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