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Administrative decision</w:t>
      </w:r>
    </w:p>
    <w:p>
      <w:r>
        <w:t xml:space="preserve">Reference: SYN-26-00216</w:t>
      </w:r>
    </w:p>
    <w:p>
      <w:r>
        <w:t xml:space="preserve">Subject: Appeal against a zoning decision</w:t>
      </w:r>
    </w:p>
    <w:p>
      <w:r>
        <w:t xml:space="preserve">Client: Merriton Packaging BV</w:t>
      </w:r>
    </w:p>
    <w:p>
      <w:r>
        <w:t xml:space="preserve">Counterparty: Municipality of Orrinford</w:t>
      </w:r>
    </w:p>
    <w:p>
      <w:r>
        <w:t xml:space="preserve"/>
      </w:r>
    </w:p>
    <w:p>
      <w:r>
        <w:t xml:space="preserve">Municipality of Orrinford issued an administrative decision concerning our client.</w:t>
      </w:r>
    </w:p>
    <w:p>
      <w:r>
        <w:t xml:space="preserve">The permit application was refused and a fine was imposed by the public authority.</w:t>
      </w:r>
    </w:p>
    <w:p>
      <w:r>
        <w:t xml:space="preserve">Our client contests the zoning grounds relied upon.</w:t>
      </w:r>
    </w:p>
    <w:p>
      <w:r>
        <w:t xml:space="preserve">The matter may be brought before the Council of State.</w:t>
      </w:r>
    </w:p>
    <w:p>
      <w:r>
        <w:t xml:space="preserve"/>
      </w:r>
    </w:p>
    <w:p>
      <w:r>
        <w:t xml:space="preserve">Incident date: November 13, 2025</w:t>
      </w:r>
    </w:p>
    <w:p>
      <w:r>
        <w:t xml:space="preserve">Notice date: December 14, 2025</w:t>
      </w:r>
    </w:p>
    <w:p>
      <w:r>
        <w:t xml:space="preserve">Response deadline: January 4, 2026</w:t>
      </w:r>
    </w:p>
    <w:p>
      <w:r>
        <w:t xml:space="preserve">Amount claimed: EUR 865.00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