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File number: SYN-26-00231</w:t>
      </w:r>
    </w:p>
    <w:p>
      <w:r>
        <w:t xml:space="preserve">Matter: Contested board resolution</w:t>
      </w:r>
    </w:p>
    <w:p>
      <w:r>
        <w:t xml:space="preserve">Client: Calloway Vale Consulting NV</w:t>
      </w:r>
    </w:p>
    <w:p>
      <w:r>
        <w:t xml:space="preserve">Respondent: Maxime Brecquet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is a shareholder of a company in which Maxime Brecquet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Date of the facts: 16/12/2025</w:t>
      </w:r>
    </w:p>
    <w:p>
      <w:r>
        <w:t xml:space="preserve">Notice date: 16/01/2026</w:t>
      </w:r>
    </w:p>
    <w:p>
      <w:r>
        <w:t xml:space="preserve">Response deadline: 06/02/2026</w:t>
      </w:r>
    </w:p>
    <w:p>
      <w:r>
        <w:t xml:space="preserve">Principal amount: € 26.076,00</w:t>
      </w:r>
    </w:p>
    <w:p>
      <w:r>
        <w:t xml:space="preserve">Late interest: € 709,02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