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SYN-26-00235</w:t>
      </w:r>
    </w:p>
    <w:p>
      <w:r>
        <w:t xml:space="preserve">Subject: Appeal against a zoning decision</w:t>
      </w:r>
    </w:p>
    <w:p>
      <w:r>
        <w:t xml:space="preserve">Client: Quillfield Mobility SA</w:t>
      </w:r>
    </w:p>
    <w:p>
      <w:r>
        <w:t xml:space="preserve">Opposing party: Municipality of Aldenmere</w:t>
      </w:r>
    </w:p>
    <w:p>
      <w:r>
        <w:t xml:space="preserve">Competent court: Council of State</w:t>
      </w:r>
    </w:p>
    <w:p>
      <w:r>
        <w:t xml:space="preserve"/>
      </w:r>
    </w:p>
    <w:p>
      <w:r>
        <w:t xml:space="preserve">Municipality of Aldenmere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incident: November 3, 2025</w:t>
      </w:r>
    </w:p>
    <w:p>
      <w:r>
        <w:t xml:space="preserve">Notice date: November 20, 2025</w:t>
      </w:r>
    </w:p>
    <w:p>
      <w:r>
        <w:t xml:space="preserve">Response deadline: December 20, 2025</w:t>
      </w:r>
    </w:p>
    <w:p>
      <w:r>
        <w:t xml:space="preserve">Hearing date: January 24, 2026</w:t>
      </w:r>
    </w:p>
    <w:p>
      <w:r>
        <w:t xml:space="preserve">Amount claimed: EUR 11,580.00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