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Shareholder letter</w:t>
      </w:r>
    </w:p>
    <w:p>
      <w:r>
        <w:t xml:space="preserve">Our reference: SYN-26-00246</w:t>
      </w:r>
    </w:p>
    <w:p>
      <w:r>
        <w:t xml:space="preserve">Matter: Challenge to a capital increase</w:t>
      </w:r>
    </w:p>
    <w:p>
      <w:r>
        <w:t xml:space="preserve">On behalf of: Calloway Vale Systems NV</w:t>
      </w:r>
    </w:p>
    <w:p>
      <w:r>
        <w:t xml:space="preserve">Counterparty: Ines Brecquet</w:t>
      </w:r>
    </w:p>
    <w:p>
      <w:r>
        <w:t xml:space="preserve">Competent court: Brussels Enterprise Court</w:t>
      </w:r>
    </w:p>
    <w:p>
      <w:r>
        <w:t xml:space="preserve"/>
      </w:r>
    </w:p>
    <w:p>
      <w:r>
        <w:t xml:space="preserve">Our client is a shareholder of a company in which Ines Brecquet is a director.</w:t>
      </w:r>
    </w:p>
    <w:p>
      <w:r>
        <w:t xml:space="preserve">The board adopted a resolution on a share transfer without convening the general meeting.</w:t>
      </w:r>
    </w:p>
    <w:p>
      <w:r>
        <w:t xml:space="preserve">The articles of association require the approval of the shareholders.</w:t>
      </w:r>
    </w:p>
    <w:p>
      <w:r>
        <w:t xml:space="preserve"/>
      </w:r>
    </w:p>
    <w:p>
      <w:r>
        <w:t xml:space="preserve">Date of the facts: 10/12/2025</w:t>
      </w:r>
    </w:p>
    <w:p>
      <w:r>
        <w:t xml:space="preserve">Notice date: 16/01/2026</w:t>
      </w:r>
    </w:p>
    <w:p>
      <w:r>
        <w:t xml:space="preserve">Response deadline: 15/02/2026</w:t>
      </w:r>
    </w:p>
    <w:p>
      <w:r>
        <w:t xml:space="preserve">Amount claimed: EUR 44,932.00</w:t>
      </w:r>
    </w:p>
    <w:p>
      <w:r>
        <w:t xml:space="preserve">Late interest: EUR 2,016.74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