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SYN-26-00258</w:t>
      </w:r>
    </w:p>
    <w:p>
      <w:r>
        <w:t xml:space="preserve">Subject: Late payment for delivered printed brochures</w:t>
      </w:r>
    </w:p>
    <w:p>
      <w:r>
        <w:t xml:space="preserve">On behalf of: Brookhollow Consulting SA</w:t>
      </w:r>
    </w:p>
    <w:p>
      <w:r>
        <w:t xml:space="preserve">Opposing party: Aldenmere Packaging SRL</w:t>
      </w:r>
    </w:p>
    <w:p>
      <w:r>
        <w:t xml:space="preserve">Jurisdiction: Antwerp Enterprise Court</w:t>
      </w:r>
    </w:p>
    <w:p>
      <w:r>
        <w:t xml:space="preserve"/>
      </w:r>
    </w:p>
    <w:p>
      <w:r>
        <w:t xml:space="preserve">Our client delivered printed brochures to Aldenmere Packaging SRL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Incident date: 12 October 2025</w:t>
      </w:r>
    </w:p>
    <w:p>
      <w:r>
        <w:t xml:space="preserve">Notice date: 3 December 2025</w:t>
      </w:r>
    </w:p>
    <w:p>
      <w:r>
        <w:t xml:space="preserve">Reply by: 2 January 2026</w:t>
      </w:r>
    </w:p>
    <w:p>
      <w:r>
        <w:t xml:space="preserve">Principal amount: EUR 46,808.25</w:t>
      </w:r>
    </w:p>
    <w:p>
      <w:r>
        <w:t xml:space="preserve">Late interest: EUR 2,663.21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