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Our reference: SYN-26-00035</w:t>
      </w:r>
    </w:p>
    <w:p>
      <w:r>
        <w:t xml:space="preserve">Subject: Shareholder dispute over a share transfer</w:t>
      </w:r>
    </w:p>
    <w:p>
      <w:r>
        <w:t xml:space="preserve">Client: Calloway Vale Mobility SRL</w:t>
      </w:r>
    </w:p>
    <w:p>
      <w:r>
        <w:t xml:space="preserve">Respondent: Sanne Talmont</w:t>
      </w:r>
    </w:p>
    <w:p>
      <w:r>
        <w:t xml:space="preserve"/>
      </w:r>
    </w:p>
    <w:p>
      <w:r>
        <w:t xml:space="preserve">Our client is a shareholder of a company in which Sanne Talmont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>The matter may be brought before the Brussels Enterprise Court.</w:t>
      </w:r>
    </w:p>
    <w:p>
      <w:r>
        <w:t xml:space="preserve"/>
      </w:r>
    </w:p>
    <w:p>
      <w:r>
        <w:t xml:space="preserve">Date of the facts: October 7, 2025</w:t>
      </w:r>
    </w:p>
    <w:p>
      <w:r>
        <w:t xml:space="preserve">Date of this letter: November 7, 2025</w:t>
      </w:r>
    </w:p>
    <w:p>
      <w:r>
        <w:t xml:space="preserve">Response deadline: December 7, 2025</w:t>
      </w:r>
    </w:p>
    <w:p>
      <w:r>
        <w:t xml:space="preserve">Principal amount: 70.839,00 EUR</w:t>
      </w:r>
    </w:p>
    <w:p>
      <w:r>
        <w:t xml:space="preserve">Late interest: 2.286,81 EUR</w:t>
      </w:r>
    </w:p>
    <w:p>
      <w:r>
        <w:t xml:space="preserve">Principal amount (revised, supersedes the amount above): 76.506,12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