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File number: SYN-26-00057</w:t>
      </w:r>
    </w:p>
    <w:p>
      <w:r>
        <w:t xml:space="preserve">Subject: Shareholder dispute over a share transfer</w:t>
      </w:r>
    </w:p>
    <w:p>
      <w:r>
        <w:t xml:space="preserve">On behalf of: Oakhaven Facilities SRL</w:t>
      </w:r>
    </w:p>
    <w:p>
      <w:r>
        <w:t xml:space="preserve">Respondent: Ines Ostaven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is a shareholder of a company in which Ines Ostaven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Incident date: 2026-01-13</w:t>
      </w:r>
    </w:p>
    <w:p>
      <w:r>
        <w:t xml:space="preserve">Notice date: 2026-02-13</w:t>
      </w:r>
    </w:p>
    <w:p>
      <w:r>
        <w:t xml:space="preserve">Response deadline: 2026-03-06</w:t>
      </w:r>
    </w:p>
    <w:p>
      <w:r>
        <w:t xml:space="preserve">Response deadline (extended): 2026-03-13</w:t>
      </w:r>
    </w:p>
    <w:p>
      <w:r>
        <w:t xml:space="preserve">Principal amount: 28 948,00 euros</w:t>
      </w:r>
    </w:p>
    <w:p>
      <w:r>
        <w:t xml:space="preserve">Late interest: 2 292,37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