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SYN-26-00091</w:t>
      </w:r>
    </w:p>
    <w:p>
      <w:r>
        <w:t xml:space="preserve">Subject: Contested board resolution</w:t>
      </w:r>
    </w:p>
    <w:p>
      <w:r>
        <w:t xml:space="preserve">Client: Harbourline Print NV</w:t>
      </w:r>
    </w:p>
    <w:p>
      <w:r>
        <w:t xml:space="preserve">Counterparty: Tomas Moreau-Lint</w:t>
      </w:r>
    </w:p>
    <w:p>
      <w:r>
        <w:t xml:space="preserve">Competent court: Ghent Enterprise Court</w:t>
      </w:r>
    </w:p>
    <w:p>
      <w:r>
        <w:t xml:space="preserve"/>
      </w:r>
    </w:p>
    <w:p>
      <w:r>
        <w:t xml:space="preserve">Our client is a shareholder of a company in which Tomas Moreau-Lint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>Competent court (per clause 14 of the agreement): Antwerp Enterprise Court</w:t>
      </w:r>
    </w:p>
    <w:p>
      <w:r>
        <w:t xml:space="preserve"/>
      </w:r>
    </w:p>
    <w:p>
      <w:r>
        <w:t xml:space="preserve">Date of the facts: November 26, 2025</w:t>
      </w:r>
    </w:p>
    <w:p>
      <w:r>
        <w:t xml:space="preserve">Date of this letter: January 15, 2026</w:t>
      </w:r>
    </w:p>
    <w:p>
      <w:r>
        <w:t xml:space="preserve">Reply by: February 14, 2026</w:t>
      </w:r>
    </w:p>
    <w:p>
      <w:r>
        <w:t xml:space="preserve">Principal amount: EUR 24,765.00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