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SYN-26-00098</w:t>
      </w:r>
    </w:p>
    <w:p>
      <w:r>
        <w:t xml:space="preserve">Matter: Breach of the software maintenance service agreement</w:t>
      </w:r>
    </w:p>
    <w:p>
      <w:r>
        <w:t xml:space="preserve">On behalf of: Veldon Foods NV</w:t>
      </w:r>
    </w:p>
    <w:p>
      <w:r>
        <w:t xml:space="preserve">Counterparty: Wexmoor Mobility SRL</w:t>
      </w:r>
    </w:p>
    <w:p>
      <w:r>
        <w:t xml:space="preserve">Competent court: Namur Court of First Instance</w:t>
      </w:r>
    </w:p>
    <w:p>
      <w:r>
        <w:t xml:space="preserve"/>
      </w:r>
    </w:p>
    <w:p>
      <w:r>
        <w:t xml:space="preserve">Veldon Foods NV and Wexmoor Mobility SRL signed a software maintenance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>Competent court (per clause 14 of the agreement): Brussels Labour Court</w:t>
      </w:r>
    </w:p>
    <w:p>
      <w:r>
        <w:t xml:space="preserve"/>
      </w:r>
    </w:p>
    <w:p>
      <w:r>
        <w:t xml:space="preserve">Date of the facts: January 2, 2026</w:t>
      </w:r>
    </w:p>
    <w:p>
      <w:r>
        <w:t xml:space="preserve">Date of this letter: January 20, 2026</w:t>
      </w:r>
    </w:p>
    <w:p>
      <w:r>
        <w:t xml:space="preserve">Reply by: February 19, 2026</w:t>
      </w:r>
    </w:p>
    <w:p>
      <w:r>
        <w:t xml:space="preserve">Amount claimed: EUR 35,978.00</w:t>
      </w:r>
    </w:p>
    <w:p>
      <w:r>
        <w:t xml:space="preserve">Late interest: EUR 1,396.80</w:t>
      </w:r>
    </w:p>
    <w:p>
      <w:r>
        <w:t xml:space="preserve">Contractual penalty: EUR 3,597.80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