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Invoice dispute letter</w:t>
      </w:r>
    </w:p>
    <w:p>
      <w:r>
        <w:t xml:space="preserve">Reference: SYN-26-00103</w:t>
      </w:r>
    </w:p>
    <w:p>
      <w:r>
        <w:t xml:space="preserve">Subject: Late payment for delivered printed brochures</w:t>
      </w:r>
    </w:p>
    <w:p>
      <w:r>
        <w:t xml:space="preserve">Client: Norvale Studios NV</w:t>
      </w:r>
    </w:p>
    <w:p>
      <w:r>
        <w:t xml:space="preserve">Opposing party: Oakhaven Consulting NV</w:t>
      </w:r>
    </w:p>
    <w:p>
      <w:r>
        <w:t xml:space="preserve">Competent court: Brussels Enterprise Court</w:t>
      </w:r>
    </w:p>
    <w:p>
      <w:r>
        <w:t xml:space="preserve"/>
      </w:r>
    </w:p>
    <w:p>
      <w:r>
        <w:t xml:space="preserve">Our client delivered printed brochures to Oakhaven Consulting NV under several purchase orders.</w:t>
      </w:r>
    </w:p>
    <w:p>
      <w:r>
        <w:t xml:space="preserve">The invoices remain unpaid despite two payment reminders.</w:t>
      </w:r>
    </w:p>
    <w:p>
      <w:r>
        <w:t xml:space="preserve">The customer has not raised any complaint about the goods within the agreed period.</w:t>
      </w:r>
    </w:p>
    <w:p>
      <w:r>
        <w:t xml:space="preserve">Competent court (per clause 14 of the agreement): Leuven Justice of the Peace</w:t>
      </w:r>
    </w:p>
    <w:p>
      <w:r>
        <w:t xml:space="preserve"/>
      </w:r>
    </w:p>
    <w:p>
      <w:r>
        <w:t xml:space="preserve">Date of the facts: February 1, 2026</w:t>
      </w:r>
    </w:p>
    <w:p>
      <w:r>
        <w:t xml:space="preserve">Notice date: February 24, 2026</w:t>
      </w:r>
    </w:p>
    <w:p>
      <w:r>
        <w:t xml:space="preserve">Reply by: March 17, 2026</w:t>
      </w:r>
    </w:p>
    <w:p>
      <w:r>
        <w:t xml:space="preserve">Amount claimed: EUR 15,216.80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