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Court summons</w:t>
      </w:r>
    </w:p>
    <w:p>
      <w:r>
        <w:t xml:space="preserve">File number: SYN-26-00007</w:t>
      </w:r>
    </w:p>
    <w:p>
      <w:r>
        <w:t xml:space="preserve">Matter: Non-performance under the marketing agreement</w:t>
      </w:r>
    </w:p>
    <w:p>
      <w:r>
        <w:t xml:space="preserve">On behalf of: Duskwater Packaging BV</w:t>
      </w:r>
    </w:p>
    <w:p>
      <w:r>
        <w:t xml:space="preserve">Counterparty: Thornlea Mobility NV</w:t>
      </w:r>
    </w:p>
    <w:p>
      <w:r>
        <w:t xml:space="preserve">Jurisdiction: Namur Court of First Instance</w:t>
      </w:r>
    </w:p>
    <w:p>
      <w:r>
        <w:t xml:space="preserve"/>
      </w:r>
    </w:p>
    <w:p>
      <w:r>
        <w:t xml:space="preserve">Duskwater Packaging BV and Thornlea Mobility NV signed a marketing service agreement.</w:t>
      </w:r>
    </w:p>
    <w:p>
      <w:r>
        <w:t xml:space="preserve">Our client considers that the termination clause was applied without the required notice, which amounts to a breach of contract.</w:t>
      </w:r>
    </w:p>
    <w:p>
      <w:r>
        <w:t xml:space="preserve">The contractual penalty clause is invoked for non-performance.</w:t>
      </w:r>
    </w:p>
    <w:p>
      <w:r>
        <w:t xml:space="preserve"/>
      </w:r>
    </w:p>
    <w:p>
      <w:r>
        <w:t xml:space="preserve">Date of incident: 21/03/2026</w:t>
      </w:r>
    </w:p>
    <w:p>
      <w:r>
        <w:t xml:space="preserve">Date of this letter: 13/04/2026</w:t>
      </w:r>
    </w:p>
    <w:p>
      <w:r>
        <w:t xml:space="preserve">Reply by: April 2026</w:t>
      </w:r>
    </w:p>
    <w:p>
      <w:r>
        <w:t xml:space="preserve">Late interest: EUR 163.79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