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SYN-26-00011</w:t>
      </w:r>
    </w:p>
    <w:p>
      <w:r>
        <w:t xml:space="preserve">Subject: Breach of the software maintenance service agreement</w:t>
      </w:r>
    </w:p>
    <w:p>
      <w:r>
        <w:t xml:space="preserve">On behalf of: Harbourline Interiors BV</w:t>
      </w:r>
    </w:p>
    <w:p>
      <w:r>
        <w:t xml:space="preserve">Opposing party: Orrinford Interiors SRL</w:t>
      </w:r>
    </w:p>
    <w:p>
      <w:r>
        <w:t xml:space="preserve"/>
      </w:r>
    </w:p>
    <w:p>
      <w:r>
        <w:t xml:space="preserve">Harbourline Interiors BV and Orrinford Interiors SRL signed a software maintenance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Incident date: 2025-11-01</w:t>
      </w:r>
    </w:p>
    <w:p>
      <w:r>
        <w:t xml:space="preserve">Date of this letter: 2025-11-24</w:t>
      </w:r>
    </w:p>
    <w:p>
      <w:r>
        <w:t xml:space="preserve">Reply by: 2025-12-15</w:t>
      </w:r>
    </w:p>
    <w:p>
      <w:r>
        <w:t xml:space="preserve">Contractual penalty: EUR 8,908.10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