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SYN-26-00022</w:t>
      </w:r>
    </w:p>
    <w:p>
      <w:r>
        <w:t xml:space="preserve">Matter: Disputed delivery of catering supplies</w:t>
      </w:r>
    </w:p>
    <w:p>
      <w:r>
        <w:t xml:space="preserve">On behalf of: Thornlea Mobility NV</w:t>
      </w:r>
    </w:p>
    <w:p>
      <w:r>
        <w:t xml:space="preserve"/>
      </w:r>
    </w:p>
    <w:p>
      <w:r>
        <w:t xml:space="preserve">Our client delivered catering supplies to Aldenmere Facilities BV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Date of incident: 2025-09-07</w:t>
      </w:r>
    </w:p>
    <w:p>
      <w:r>
        <w:t xml:space="preserve">Date of this letter: 2025-10-16</w:t>
      </w:r>
    </w:p>
    <w:p>
      <w:r>
        <w:t xml:space="preserve">Reply by: 2025-11-15</w:t>
      </w:r>
    </w:p>
    <w:p>
      <w:r>
        <w:t xml:space="preserve">Amount claimed: 20 919,50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