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SYN-26-00114</w:t>
      </w:r>
    </w:p>
    <w:p>
      <w:r>
        <w:t xml:space="preserve">Subject: Early termination of the marketing contract</w:t>
      </w:r>
    </w:p>
    <w:p>
      <w:r>
        <w:t xml:space="preserve">On behalf of: Duskwater Catering SA</w:t>
      </w:r>
    </w:p>
    <w:p>
      <w:r>
        <w:t xml:space="preserve">Respondent: Fernhill Facilities SRL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Duskwater Catering SA and Fernhill Facilities SRL signed a marketing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November 25, 2025</w:t>
      </w:r>
    </w:p>
    <w:p>
      <w:r>
        <w:t xml:space="preserve">Notice date: December 12, 2025</w:t>
      </w:r>
    </w:p>
    <w:p>
      <w:r>
        <w:t xml:space="preserve">Response deadline: January 2026</w:t>
      </w:r>
    </w:p>
    <w:p>
      <w:r>
        <w:t xml:space="preserve">Contractual penalty: 7 889,50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