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File number: SYN-26-00130</w:t>
      </w:r>
    </w:p>
    <w:p>
      <w:r>
        <w:t xml:space="preserve">Subject: Breach of the facility management service agreement</w:t>
      </w:r>
    </w:p>
    <w:p>
      <w:r>
        <w:t xml:space="preserve">On behalf of: Oakhaven Foods SA</w:t>
      </w:r>
    </w:p>
    <w:p>
      <w:r>
        <w:t xml:space="preserve">Opposing party: Oakhaven Retail SRL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Oakhaven Foods SA and Oakhaven Retail SRL signed a facility management service agreement.</w:t>
      </w:r>
    </w:p>
    <w:p>
      <w:r>
        <w:t xml:space="preserve">Our client considers that the termination clause was applied without the required notice, which amounts to a breach of contract.</w:t>
      </w:r>
    </w:p>
    <w:p>
      <w:r>
        <w:t xml:space="preserve">The contractual penalty clause is invoked for non-performance.</w:t>
      </w:r>
    </w:p>
    <w:p>
      <w:r>
        <w:t xml:space="preserve"/>
      </w:r>
    </w:p>
    <w:p>
      <w:r>
        <w:t xml:space="preserve">Incident date: 2026-04-20</w:t>
      </w:r>
    </w:p>
    <w:p>
      <w:r>
        <w:t xml:space="preserve">Date of this letter: 2026-05-02</w:t>
      </w:r>
    </w:p>
    <w:p>
      <w:r>
        <w:t xml:space="preserve">Reply by: May 2026</w:t>
      </w:r>
    </w:p>
    <w:p>
      <w:r>
        <w:t xml:space="preserve">Late interest: EUR 1,293.52</w:t>
      </w:r>
    </w:p>
    <w:p>
      <w:r>
        <w:t xml:space="preserve">Contractual penalty: EUR 2,755.70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