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Reference: SYN-26-00133</w:t>
      </w:r>
    </w:p>
    <w:p>
      <w:r>
        <w:t xml:space="preserve">Subject: Unpaid invoices for IT hardware</w:t>
      </w:r>
    </w:p>
    <w:p>
      <w:r>
        <w:t xml:space="preserve">On behalf of: Oakhaven Retail SA</w:t>
      </w:r>
    </w:p>
    <w:p>
      <w:r>
        <w:t xml:space="preserve">Respondent: Castellan Foods NV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delivered IT hardware to Castellan Foods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/>
      </w:r>
    </w:p>
    <w:p>
      <w:r>
        <w:t xml:space="preserve">Date of the facts: September 8, 2025</w:t>
      </w:r>
    </w:p>
    <w:p>
      <w:r>
        <w:t xml:space="preserve">Date of this letter: October 30, 2025</w:t>
      </w:r>
    </w:p>
    <w:p>
      <w:r>
        <w:t xml:space="preserve">Response deadline: November 14, 2025</w:t>
      </w:r>
    </w:p>
    <w:p>
      <w:r>
        <w:t xml:space="preserve">Late interest: EUR 1,622.80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