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Administrative decision</w:t>
      </w:r>
    </w:p>
    <w:p>
      <w:r>
        <w:t xml:space="preserve">Reference: SYN-26-00187</w:t>
      </w:r>
    </w:p>
    <w:p>
      <w:r>
        <w:t xml:space="preserve">Subject: Contested municipal fine</w:t>
      </w:r>
    </w:p>
    <w:p>
      <w:r>
        <w:t xml:space="preserve">On behalf of: Wexmoor Foods SA</w:t>
      </w:r>
    </w:p>
    <w:p>
      <w:r>
        <w:t xml:space="preserve">Respondent: Regional Environment Agency (fictional)</w:t>
      </w:r>
    </w:p>
    <w:p>
      <w:r>
        <w:t xml:space="preserve">Jurisdiction: Council of State</w:t>
      </w:r>
    </w:p>
    <w:p>
      <w:r>
        <w:t xml:space="preserve"/>
      </w:r>
    </w:p>
    <w:p>
      <w:r>
        <w:t xml:space="preserve">Regional Environment Agency (fictional) issued an administrative decision concerning our client.</w:t>
      </w:r>
    </w:p>
    <w:p>
      <w:r>
        <w:t xml:space="preserve">The permit application was refused and a fine was imposed by the public authority.</w:t>
      </w:r>
    </w:p>
    <w:p>
      <w:r>
        <w:t xml:space="preserve">Our client contests the zoning grounds relied upon.</w:t>
      </w:r>
    </w:p>
    <w:p>
      <w:r>
        <w:t xml:space="preserve"/>
      </w:r>
    </w:p>
    <w:p>
      <w:r>
        <w:t xml:space="preserve">Incident date: 23/02/2026</w:t>
      </w:r>
    </w:p>
    <w:p>
      <w:r>
        <w:t xml:space="preserve">Notice date: 09/03/2026</w:t>
      </w:r>
    </w:p>
    <w:p>
      <w:r>
        <w:t xml:space="preserve">Response deadline: April 2026</w:t>
      </w:r>
    </w:p>
    <w:p>
      <w:r>
        <w:t xml:space="preserve">Principal amount: EUR 14,188.00</w:t>
      </w:r>
    </w:p>
    <w:p>
      <w:r>
        <w:t xml:space="preserve">Late interest: EUR 359.99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