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Court summons</w:t>
      </w:r>
    </w:p>
    <w:p>
      <w:r>
        <w:t xml:space="preserve">Reference: SYN-26-00201</w:t>
      </w:r>
    </w:p>
    <w:p>
      <w:r>
        <w:t xml:space="preserve">Matter: Early termination of the software maintenance contract</w:t>
      </w:r>
    </w:p>
    <w:p>
      <w:r>
        <w:t xml:space="preserve">On behalf of: Greywood Digital NV</w:t>
      </w:r>
    </w:p>
    <w:p>
      <w:r>
        <w:t xml:space="preserve">Respondent: Thornlea Retail SRL</w:t>
      </w:r>
    </w:p>
    <w:p>
      <w:r>
        <w:t xml:space="preserve">Jurisdiction: Namur Court of First Instance</w:t>
      </w:r>
    </w:p>
    <w:p>
      <w:r>
        <w:t xml:space="preserve"/>
      </w:r>
    </w:p>
    <w:p>
      <w:r>
        <w:t xml:space="preserve">Greywood Digital NV and Thornlea Retail SRL signed a software maintenance service agreement.</w:t>
      </w:r>
    </w:p>
    <w:p>
      <w:r>
        <w:t xml:space="preserve">Our client considers that the termination clause was applied without the required notice, which amounts to a breach of contract.</w:t>
      </w:r>
    </w:p>
    <w:p>
      <w:r>
        <w:t xml:space="preserve">The contractual penalty clause is invoked for non-performance.</w:t>
      </w:r>
    </w:p>
    <w:p>
      <w:r>
        <w:t xml:space="preserve"/>
      </w:r>
    </w:p>
    <w:p>
      <w:r>
        <w:t xml:space="preserve">Date of incident: 4 April 2026</w:t>
      </w:r>
    </w:p>
    <w:p>
      <w:r>
        <w:t xml:space="preserve">Date of this letter: 1 June 2026</w:t>
      </w:r>
    </w:p>
    <w:p>
      <w:r>
        <w:t xml:space="preserve">Reply by: July 2026</w:t>
      </w:r>
    </w:p>
    <w:p>
      <w:r>
        <w:t xml:space="preserve">Late interest: 2 226,02 euros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