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SYN-26-00253</w:t>
      </w:r>
    </w:p>
    <w:p>
      <w:r>
        <w:t xml:space="preserve">Matter: Unpaid invoices for printed brochures</w:t>
      </w:r>
    </w:p>
    <w:p>
      <w:r>
        <w:t xml:space="preserve">Client: Fernhill Logistics NV</w:t>
      </w:r>
    </w:p>
    <w:p>
      <w:r>
        <w:t xml:space="preserve">Respondent: Calloway Vale Digital SRL</w:t>
      </w:r>
    </w:p>
    <w:p>
      <w:r>
        <w:t xml:space="preserve"/>
      </w:r>
    </w:p>
    <w:p>
      <w:r>
        <w:t xml:space="preserve">Our client delivered printed brochures to Calloway Vale Digital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Incident date: 10.03.2026</w:t>
      </w:r>
    </w:p>
    <w:p>
      <w:r>
        <w:t xml:space="preserve">Date of this letter: 25.03.2026</w:t>
      </w:r>
    </w:p>
    <w:p>
      <w:r>
        <w:t xml:space="preserve">Response deadline: 24.04.2026</w:t>
      </w:r>
    </w:p>
    <w:p>
      <w:r>
        <w:t xml:space="preserve">Amount claimed: EUR 33,577.25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