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Reference: SYN-26-00257</w:t>
      </w:r>
    </w:p>
    <w:p>
      <w:r>
        <w:t xml:space="preserve">Subject: Contested dismissal of an employee</w:t>
      </w:r>
    </w:p>
    <w:p>
      <w:r>
        <w:t xml:space="preserve">Client: Bram Brecquet</w:t>
      </w:r>
    </w:p>
    <w:p>
      <w:r>
        <w:t xml:space="preserve">Opposing party: Silverbirch Logistics SA</w:t>
      </w:r>
    </w:p>
    <w:p>
      <w:r>
        <w:t xml:space="preserve"/>
      </w:r>
    </w:p>
    <w:p>
      <w:r>
        <w:t xml:space="preserve">Our client was an employee of Silverbirch Logistics SA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Incident date: March 18, 2026</w:t>
      </w:r>
    </w:p>
    <w:p>
      <w:r>
        <w:t xml:space="preserve">Notice date: April 22, 2026</w:t>
      </w:r>
    </w:p>
    <w:p>
      <w:r>
        <w:t xml:space="preserve">Response deadline: May 22, 2026</w:t>
      </w:r>
    </w:p>
    <w:p>
      <w:r>
        <w:t xml:space="preserve">Hearing date: June 24, 2026</w:t>
      </w:r>
    </w:p>
    <w:p>
      <w:r>
        <w:t xml:space="preserve">Principal amount: € 14.062,00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