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SYN-26-90010</w:t>
      </w:r>
    </w:p>
    <w:p>
      <w:r>
        <w:t xml:space="preserve">Matter: Breach of the facility management service agreement</w:t>
      </w:r>
    </w:p>
    <w:p>
      <w:r>
        <w:t xml:space="preserve">Client: Calloway Vale Mobility SA</w:t>
      </w:r>
    </w:p>
    <w:p>
      <w:r>
        <w:t xml:space="preserve">Respondent: Duskwater Consulting BV</w:t>
      </w:r>
    </w:p>
    <w:p>
      <w:r>
        <w:t xml:space="preserve">Competent court: Brussels Court of First Instance</w:t>
      </w:r>
    </w:p>
    <w:p>
      <w:r>
        <w:t xml:space="preserve"/>
      </w:r>
    </w:p>
    <w:p>
      <w:r>
        <w:t xml:space="preserve">Calloway Vale Mobility SA and Duskwater Consulting BV signed a facility management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Incident date: 11/09/2025</w:t>
      </w:r>
    </w:p>
    <w:p>
      <w:r>
        <w:t xml:space="preserve">Notice date: 07/10/2025</w:t>
      </w:r>
    </w:p>
    <w:p>
      <w:r>
        <w:t xml:space="preserve">Response deadline: 28/10/2025</w:t>
      </w:r>
    </w:p>
    <w:p>
      <w:r>
        <w:t xml:space="preserve">Hearing date: 23/12/2025</w:t>
      </w:r>
    </w:p>
    <w:p>
      <w:r>
        <w:t xml:space="preserve">Principal amount: EUR 20,734.00</w:t>
      </w:r>
    </w:p>
    <w:p>
      <w:r>
        <w:t xml:space="preserve">Late interest: EUR 1,231.05</w:t>
      </w:r>
    </w:p>
    <w:p>
      <w:r>
        <w:t xml:space="preserve">Contractual penalty: EUR 2,073.40</w:t>
      </w:r>
    </w:p>
    <w:p>
      <w:r>
        <w:t xml:space="preserve">Principal amount (revised, supersedes the amount above): EUR 18,660.60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