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SYN-26-00001</w:t>
      </w:r>
    </w:p>
    <w:p>
      <w:r>
        <w:t xml:space="preserve">Matter: Late payment for delivered cardboard packaging</w:t>
      </w:r>
    </w:p>
    <w:p>
      <w:r>
        <w:t xml:space="preserve">Client: Kestrelpoint Packaging BV</w:t>
      </w:r>
    </w:p>
    <w:p>
      <w:r>
        <w:t xml:space="preserve">Respondent: Orrinford Digital BV</w:t>
      </w:r>
    </w:p>
    <w:p>
      <w:r>
        <w:t xml:space="preserve">Competent court: Brussels Enterprise Court</w:t>
      </w:r>
    </w:p>
    <w:p>
      <w:r>
        <w:t xml:space="preserve"/>
      </w:r>
    </w:p>
    <w:p>
      <w:r>
        <w:t xml:space="preserve">Our client supplied cardboard, cardboard sleeves and cardboard trays to Orrinford Digital BV.</w:t>
      </w:r>
    </w:p>
    <w:p>
      <w:r>
        <w:t xml:space="preserve">The cardboard was accepted on receipt and stored in cardboard crates; the cardboard specification was met.</w:t>
      </w:r>
    </w:p>
    <w:p>
      <w:r>
        <w:t xml:space="preserve">Orrinford Digital BV has not paid the related invoices.</w:t>
      </w:r>
    </w:p>
    <w:p>
      <w:r>
        <w:t xml:space="preserve"/>
      </w:r>
    </w:p>
    <w:p>
      <w:r>
        <w:t xml:space="preserve">Date of incident: 18 October 2025</w:t>
      </w:r>
    </w:p>
    <w:p>
      <w:r>
        <w:t xml:space="preserve">Notice date: 16 December 2025</w:t>
      </w:r>
    </w:p>
    <w:p>
      <w:r>
        <w:t xml:space="preserve">Response deadline: 31 December 2025</w:t>
      </w:r>
    </w:p>
    <w:p>
      <w:r>
        <w:t xml:space="preserve">Amount claimed: EUR 58,889.50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