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Our reference: SYN-26-00100</w:t>
      </w:r>
    </w:p>
    <w:p>
      <w:r>
        <w:t xml:space="preserve">Matter: Late payment for delivered printed brochures</w:t>
      </w:r>
    </w:p>
    <w:p>
      <w:r>
        <w:t xml:space="preserve">Client: Oakhaven Digital SRL</w:t>
      </w:r>
    </w:p>
    <w:p>
      <w:r>
        <w:t xml:space="preserve">Counterparty: Fernhill Print SRL</w:t>
      </w:r>
    </w:p>
    <w:p>
      <w:r>
        <w:t xml:space="preserve">Jurisdiction: Ghent Enterprise Court</w:t>
      </w:r>
    </w:p>
    <w:p>
      <w:r>
        <w:t xml:space="preserve"/>
      </w:r>
    </w:p>
    <w:p>
      <w:r>
        <w:t xml:space="preserve">Our client delivered printed brochures to Fernhill Print SRL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the facts: 04.10.2025</w:t>
      </w:r>
    </w:p>
    <w:p>
      <w:r>
        <w:t xml:space="preserve">Date of this letter: 01.11.2025</w:t>
      </w:r>
    </w:p>
    <w:p>
      <w:r>
        <w:t xml:space="preserve">Response deadline: 01.12.2025</w:t>
      </w:r>
    </w:p>
    <w:p>
      <w:r>
        <w:t xml:space="preserve">Principal amount: EUR 28,902.25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