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Court summons</w:t>
      </w:r>
    </w:p>
    <w:p>
      <w:r>
        <w:t xml:space="preserve">File number: SYN-26-00233</w:t>
      </w:r>
    </w:p>
    <w:p>
      <w:r>
        <w:t xml:space="preserve">Matter: Late payment for delivered cardboard packaging</w:t>
      </w:r>
    </w:p>
    <w:p>
      <w:r>
        <w:t xml:space="preserve">Client: Lindenbrook Facilities SA</w:t>
      </w:r>
    </w:p>
    <w:p>
      <w:r>
        <w:t xml:space="preserve">Respondent: Ambermoor Digital BV</w:t>
      </w:r>
    </w:p>
    <w:p>
      <w:r>
        <w:t xml:space="preserve">Jurisdiction: Brussels Enterprise Court</w:t>
      </w:r>
    </w:p>
    <w:p>
      <w:r>
        <w:t xml:space="preserve"/>
      </w:r>
    </w:p>
    <w:p>
      <w:r>
        <w:t xml:space="preserve">Our client supplied cardboard, cardboard sleeves and cardboard trays to Ambermoor Digital BV.</w:t>
      </w:r>
    </w:p>
    <w:p>
      <w:r>
        <w:t xml:space="preserve">The cardboard was accepted on receipt and stored in cardboard crates; the cardboard specification was met.</w:t>
      </w:r>
    </w:p>
    <w:p>
      <w:r>
        <w:t xml:space="preserve">Ambermoor Digital BV has not paid the related invoices.</w:t>
      </w:r>
    </w:p>
    <w:p>
      <w:r>
        <w:t xml:space="preserve"/>
      </w:r>
    </w:p>
    <w:p>
      <w:r>
        <w:t xml:space="preserve">Date of incident: 2025-10-25</w:t>
      </w:r>
    </w:p>
    <w:p>
      <w:r>
        <w:t xml:space="preserve">Date of this letter: 2025-11-16</w:t>
      </w:r>
    </w:p>
    <w:p>
      <w:r>
        <w:t xml:space="preserve">Reply by: 2025-12-16</w:t>
      </w:r>
    </w:p>
    <w:p>
      <w:r>
        <w:t xml:space="preserve">Amount claimed: 25.974,50 EUR</w:t>
      </w:r>
    </w:p>
    <w:p>
      <w:r>
        <w:t xml:space="preserve">Late interest: 1.676,17 EUR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