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SYN-26-00244</w:t>
      </w:r>
    </w:p>
    <w:p>
      <w:r>
        <w:t xml:space="preserve">Matter: Late payment for delivered IT hardware</w:t>
      </w:r>
    </w:p>
    <w:p>
      <w:r>
        <w:t xml:space="preserve">Client: Oakhaven Retail SRL</w:t>
      </w:r>
    </w:p>
    <w:p>
      <w:r>
        <w:t xml:space="preserve">Respondent: Wexmoor Mobility NV</w:t>
      </w:r>
    </w:p>
    <w:p>
      <w:r>
        <w:t xml:space="preserve">Competent court: Ghent Enterprise Court</w:t>
      </w:r>
    </w:p>
    <w:p>
      <w:r>
        <w:t xml:space="preserve"/>
      </w:r>
    </w:p>
    <w:p>
      <w:r>
        <w:t xml:space="preserve">Our client delivered IT hardware to Wexmoor Mobility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4 March 2026</w:t>
      </w:r>
    </w:p>
    <w:p>
      <w:r>
        <w:t xml:space="preserve">Date of this letter: 8 April 2026</w:t>
      </w:r>
    </w:p>
    <w:p>
      <w:r>
        <w:t xml:space="preserve">Response deadline: 29 April 2026</w:t>
      </w:r>
    </w:p>
    <w:p>
      <w:r>
        <w:t xml:space="preserve">Amount claimed: 46 747,00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