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SYN-26-90006</w:t>
      </w:r>
    </w:p>
    <w:p>
      <w:r>
        <w:t xml:space="preserve">Matter: Breach of the software maintenance service agreement</w:t>
      </w:r>
    </w:p>
    <w:p>
      <w:r>
        <w:t xml:space="preserve">Client: Quillfield Systems SRL</w:t>
      </w:r>
    </w:p>
    <w:p>
      <w:r>
        <w:t xml:space="preserve">Opposing party: Pellbrook Digital BV</w:t>
      </w:r>
    </w:p>
    <w:p>
      <w:r>
        <w:t xml:space="preserve">Jurisdiction: Brussels Court of First Instance</w:t>
      </w:r>
    </w:p>
    <w:p>
      <w:r>
        <w:t xml:space="preserve"/>
      </w:r>
    </w:p>
    <w:p>
      <w:r>
        <w:t xml:space="preserve">The service agreement was breached and the termination clause was applied.</w:t>
      </w:r>
    </w:p>
    <w:p>
      <w:r>
        <w:t xml:space="preserve"/>
      </w:r>
    </w:p>
    <w:p>
      <w:r>
        <w:t xml:space="preserve">Date of incident: 2026-01-07</w:t>
      </w:r>
    </w:p>
    <w:p>
      <w:r>
        <w:t xml:space="preserve">Date of this letter: 3 February 2026</w:t>
      </w:r>
    </w:p>
    <w:p>
      <w:r>
        <w:t xml:space="preserve">Response deadline: 24/02/2026</w:t>
      </w:r>
    </w:p>
    <w:p>
      <w:r>
        <w:t xml:space="preserve">Hearing date: March 18, 2026</w:t>
      </w:r>
    </w:p>
    <w:p>
      <w:r>
        <w:t xml:space="preserve">Amount claimed: EUR 18,400.00</w:t>
      </w:r>
    </w:p>
    <w:p>
      <w:r>
        <w:t xml:space="preserve"/>
      </w:r>
    </w:p>
    <w:p>
      <w:r>
        <w:t xml:space="preserve">All names, companies and references in this document are fictional.</w:t>
      </w:r>
    </w:p>
  </w:body>
</w:document>
</file>