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Calibri" w:hAnsi="Calibri"/>
          <w:b/>
          <w:color w:val="0F172A"/>
          <w:sz w:val="40"/>
        </w:rPr>
        <w:t>Predictive Analysis of Large Language Model Hallucinations Using a Two-Tier Cascaded Machine Learning, Deep Neural Network, and Cross-Encoder NLI Guardrail Pipeline</w:t>
      </w:r>
    </w:p>
    <w:p>
      <w:pPr>
        <w:spacing w:after="360"/>
        <w:jc w:val="center"/>
      </w:pPr>
      <w:r>
        <w:rPr>
          <w:i/>
          <w:color w:val="475569"/>
          <w:sz w:val="24"/>
        </w:rPr>
        <w:t>Technical Project Report — Predictive Analytics &amp; Natural Language Processing</w:t>
      </w:r>
    </w:p>
    <w:p>
      <w:pPr>
        <w:keepNext/>
        <w:spacing w:before="360" w:after="120"/>
        <w:pBdr>
          <w:bottom w:val="single" w:sz="8" w:space="4" w:color="1E3A8A"/>
        </w:pBdr>
      </w:pPr>
      <w:r>
        <w:rPr>
          <w:rFonts w:ascii="Calibri" w:hAnsi="Calibri"/>
          <w:b/>
          <w:color w:val="1E3A8A"/>
          <w:sz w:val="32"/>
        </w:rPr>
        <w:t>Abstract</w:t>
      </w:r>
    </w:p>
    <w:p>
      <w:pPr>
        <w:spacing w:before="40" w:after="120" w:line="276" w:lineRule="auto"/>
        <w:jc w:val="both"/>
      </w:pPr>
      <w:r>
        <w:t>Large Language Models (LLMs) have demonstrated remarkable fluency across open-domain dialogue, question answering, and abstractive text summarization. However, their practical deployment in high-stakes enterprise and clinical environments remains severely constrained by 'hallucinations'—instances where models generate plausible-sounding but factually fabricated or contextually ungrounded assertions. Existing verification paradigms suffer from a fundamental accuracy-latency trade-off: lightweight lexical heuristics fail to capture deep semantic contradictions, while invoking heavy transformer-based Natural Language Inference (NLI) verifiers on every generated response introduces prohibitive computational overhead. This project presents a predictive analysis framework and production-grade Two-Tier Cascaded Guardrail Pipeline engineered to detect hallucinations across 64,507 unified instances derived from the HaluEval benchmark. We engineer an 8-dimensional numerical interface combining dense bi-encoder semantic similarities (via Sentence-BERT all-MiniLM-L6-v2), lexical Jaccard overlap, structural length ratios, and unsupported numerical token ratios. In Tier-1, a fast soft-voting ensemble integrating Logistic Regression, Random Forest, Decision Tree, Support Vector Machine, and a custom PyTorch Multi-Layer Perceptron (TorchMLPClassifier) evaluates incoming responses with a mean classification latency of 43.38 ms on GPU. Responses falling within an uncertainty gate ([0.35, 0.65])—representing 25.0% of test traffic—are dynamically routed to a Tier-2 cross-encoder NLI verifier (cross-encoder/nli-deberta-v3-small) to compute fine-grained textual entailment probabilities. Evaluated on a strictly group-disjoint, stratified held-out test set of 12,901 samples, the standalone PyTorch ANN achieves a top Tier-1 Average Precision (AP) of 0.8914 (0.0107 ms/sample), while the end-to-end cascaded pipeline achieves an unbiased Test AP of 0.8550, a Hallucination Precision of 87.01% (exceeding our 75.0% precision design constraint), a Safe response Recall of 91.55%, and a 75.0% reduction in costly cross-encoder NLI invocations.</w:t>
      </w:r>
    </w:p>
    <w:p>
      <w:pPr>
        <w:keepNext/>
        <w:spacing w:before="360" w:after="120"/>
        <w:pBdr>
          <w:bottom w:val="single" w:sz="8" w:space="4" w:color="1E3A8A"/>
        </w:pBdr>
      </w:pPr>
      <w:r>
        <w:rPr>
          <w:rFonts w:ascii="Calibri" w:hAnsi="Calibri"/>
          <w:b/>
          <w:color w:val="1E3A8A"/>
          <w:sz w:val="32"/>
        </w:rPr>
        <w:t>1. Introduction</w:t>
      </w:r>
    </w:p>
    <w:p>
      <w:pPr>
        <w:spacing w:before="40" w:after="120" w:line="276" w:lineRule="auto"/>
        <w:jc w:val="both"/>
      </w:pPr>
      <w:r>
        <w:t>The rapid proliferation of generative artificial intelligence and Large Language Models (LLMs) has transformed automated information retrieval, conversational agents, and document synthesis. Despite their capacity to synthesize human-like prose, autoregressive language models optimize token-level likelihood rather than factual verification. Consequently, they frequently extrapolate beyond provided grounding contexts or fabricate dates, quantitative metrics, and entity relationships—a failure mode formally designated as hallucination. Predictive analysis of hallucination risk prior to serving model outputs to end-users is therefore a critical requirement for trustworthy AI governance.</w:t>
      </w:r>
    </w:p>
    <w:p>
      <w:pPr>
        <w:keepNext/>
        <w:spacing w:before="240" w:after="80"/>
      </w:pPr>
      <w:r>
        <w:rPr>
          <w:rFonts w:ascii="Calibri" w:hAnsi="Calibri"/>
          <w:b/>
          <w:color w:val="1D4ED8"/>
          <w:sz w:val="26"/>
        </w:rPr>
        <w:t>1.1 Scope</w:t>
      </w:r>
    </w:p>
    <w:p>
      <w:pPr>
        <w:spacing w:before="40" w:after="120" w:line="276" w:lineRule="auto"/>
        <w:jc w:val="both"/>
      </w:pPr>
      <w:r>
        <w:t>The scope of this project encompasses the end-to-end data engineering, feature extraction, multi-model predictive training, threshold calibration, real-time streaming prefix verification, and hardware latency benchmarking of an automated hallucination detection guardrail. Specifically, the study covers four primary natural language generation regimes consolidated from the HaluEval benchmark: knowledge-grounded dialogue systems (10,000 paired examples), open-domain and context-grounded question answering (10,000 paired examples), multi-sentence document summarization (10,000 paired examples), and general open-ended user queries (4,507 examples), yielding a unified corpus of 64,507 records. The scope extends from offline statistical validation using group-disjoint cross-validation to packaging a self-contained, deployable Python inference microservice.</w:t>
      </w:r>
    </w:p>
    <w:p>
      <w:pPr>
        <w:keepNext/>
        <w:spacing w:before="240" w:after="80"/>
      </w:pPr>
      <w:r>
        <w:rPr>
          <w:rFonts w:ascii="Calibri" w:hAnsi="Calibri"/>
          <w:b/>
          <w:color w:val="1D4ED8"/>
          <w:sz w:val="26"/>
        </w:rPr>
        <w:t>1.2 Objective</w:t>
      </w:r>
    </w:p>
    <w:p>
      <w:pPr>
        <w:pStyle w:val="ListBullet"/>
        <w:spacing w:before="40" w:after="80" w:line="276" w:lineRule="auto"/>
        <w:jc w:val="both"/>
      </w:pPr>
      <w:r>
        <w:rPr>
          <w:b/>
        </w:rPr>
        <w:t xml:space="preserve">Unified Data Representation: </w:t>
      </w:r>
      <w:r>
        <w:t>To consolidate heterogeneous multi-task hallucination datasets into a unified, leakage-free schema of 64,507 triplets (Context, Prompt, Response) using group-disjoint stratified partitioning.</w:t>
      </w:r>
    </w:p>
    <w:p>
      <w:pPr>
        <w:pStyle w:val="ListBullet"/>
        <w:spacing w:before="40" w:after="80" w:line="276" w:lineRule="auto"/>
        <w:jc w:val="both"/>
      </w:pPr>
      <w:r>
        <w:rPr>
          <w:b/>
        </w:rPr>
        <w:t xml:space="preserve">Hybrid Feature Engineering: </w:t>
      </w:r>
      <w:r>
        <w:t>To design a domain-specific 8-feature tabular representation capturing both dense semantic alignment (reference-response and prompt-response cosine similarities) and surface-level factual signals (unsupported number ratios, lexical Jaccard overlap, and length ratios).</w:t>
      </w:r>
    </w:p>
    <w:p>
      <w:pPr>
        <w:pStyle w:val="ListBullet"/>
        <w:spacing w:before="40" w:after="80" w:line="276" w:lineRule="auto"/>
        <w:jc w:val="both"/>
      </w:pPr>
      <w:r>
        <w:rPr>
          <w:b/>
        </w:rPr>
        <w:t xml:space="preserve">Multi-Model Tier-1 Risk Scoring: </w:t>
      </w:r>
      <w:r>
        <w:t>To construct and benchmark a diverse Tier-1 soft-voting ensemble combining classical machine learning classifiers (LR, RF, DT, SVM) with a custom PyTorch deep neural network (TorchMLPClassifier) utilizing LayerNorm and class-balanced binary cross-entropy loss.</w:t>
      </w:r>
    </w:p>
    <w:p>
      <w:pPr>
        <w:pStyle w:val="ListBullet"/>
        <w:spacing w:before="40" w:after="80" w:line="276" w:lineRule="auto"/>
        <w:jc w:val="both"/>
      </w:pPr>
      <w:r>
        <w:rPr>
          <w:b/>
        </w:rPr>
        <w:t xml:space="preserve">Confidence-Gated Tier-2 NLI Escalation: </w:t>
      </w:r>
      <w:r>
        <w:t>To implement a confidence-gated two-tier cascade that resolves confident predictions via the fast Tier-1 path while routing ambiguous cases ([0.35, 0.65] risk score) to a pretrained DeBERTa-v3 cross-encoder NLI model.</w:t>
      </w:r>
    </w:p>
    <w:p>
      <w:pPr>
        <w:pStyle w:val="ListBullet"/>
        <w:spacing w:before="40" w:after="80" w:line="276" w:lineRule="auto"/>
        <w:jc w:val="both"/>
      </w:pPr>
      <w:r>
        <w:rPr>
          <w:b/>
        </w:rPr>
        <w:t xml:space="preserve">Precision-Constrained Operational Calibration: </w:t>
      </w:r>
      <w:r>
        <w:t>To enforce a minimum precision floor of 75% on flagged hallucinations during threshold optimization, ensuring low false-alarm rates in production, and to support real-time sentence-by-sentence streaming interruption.</w:t>
      </w:r>
    </w:p>
    <w:p>
      <w:pPr>
        <w:keepNext/>
        <w:spacing w:before="240" w:after="80"/>
      </w:pPr>
      <w:r>
        <w:rPr>
          <w:rFonts w:ascii="Calibri" w:hAnsi="Calibri"/>
          <w:b/>
          <w:color w:val="1D4ED8"/>
          <w:sz w:val="26"/>
        </w:rPr>
        <w:t>1.3 Methodology / Model Overview</w:t>
      </w:r>
    </w:p>
    <w:p>
      <w:pPr>
        <w:spacing w:before="40" w:after="120" w:line="276" w:lineRule="auto"/>
        <w:jc w:val="both"/>
      </w:pPr>
      <w:r>
        <w:t>Our methodology bridges tabular predictive analytics and deep contextual language representation through a Two-Tier Cascaded Architecture. Raw text triplets undergo deterministic normalization (lowercasing, whitespace collapsing, and Unicode punctuation stripping) synchronized between training and serving pipelines to eliminate train-serve skew. Dense 384-dimensional embeddings are extracted on GPU via Sentence-BERT (all-MiniLM-L6-v2) to compute reference-response and prompt-response cosine similarities, which are fused with six scalar lexical and structural features. To prevent optimistic data leakage across paired factual and hallucinated twins sharing identical source contexts, the 64,507-row dataset is partitioned via a 5-fold StratifiedGroupKFold split (80% training: 51,606 rows; 20% held-out testing: 12,901 rows). Within the training split, 5-fold grouped out-of-fold (OOF) probability predictions are generated for the Tier-1 soft-voting ensemble (LR, RF, DT, SVM, and PyTorch ANN). Operating thresholds are calibrated on precision-recall curves to maximize recall subject to a strict Precision &gt;= 0.75 constraint. During inference, Tier-1 risk scores outside the [0.35, 0.65] uncertainty gate are immediately resolved via the Fast-Path (threshold = 0.433), whereas uncertain predictions invoke the Tier-2 cross-encoder/nli-deberta-v3-small verifier, blending Tier-1 (weight = 0.4) and Tier-2 non-entailment probabilities (weight = 0.6) against a separately tuned cascade threshold (0.860).</w:t>
      </w:r>
    </w:p>
    <w:p>
      <w:pPr>
        <w:keepNext/>
        <w:spacing w:before="240" w:after="80"/>
      </w:pPr>
      <w:r>
        <w:rPr>
          <w:rFonts w:ascii="Calibri" w:hAnsi="Calibri"/>
          <w:b/>
          <w:color w:val="1D4ED8"/>
          <w:sz w:val="26"/>
        </w:rPr>
        <w:t>1.4 Expected Results / Outcome</w:t>
      </w:r>
    </w:p>
    <w:p>
      <w:pPr>
        <w:spacing w:before="40" w:after="120" w:line="276" w:lineRule="auto"/>
        <w:jc w:val="both"/>
      </w:pPr>
      <w:r>
        <w:t>The project was expected to demonstrate that a lightweight feature-engineered ensemble augmented by a deep tabular MLP can accurately filter the vast majority of factual and blatantly hallucinated LLM responses in milliseconds, reserving computationally expensive cross-encoder attention exclusively for nuanced semantic contradictions. Specifically, we anticipated achieving an Average Precision exceeding 0.85, maintaining a hallucination detection precision above the 75% operational minimum, reducing Tier-2 transformer invocations by at least 70%, and delivering sub-100 ms mean end-to-end latency on GPU hardware alongside a packaged deployment artifact.</w:t>
      </w:r>
    </w:p>
    <w:p>
      <w:pPr>
        <w:keepNext/>
        <w:spacing w:before="240" w:after="80"/>
      </w:pPr>
      <w:r>
        <w:rPr>
          <w:rFonts w:ascii="Calibri" w:hAnsi="Calibri"/>
          <w:b/>
          <w:color w:val="1D4ED8"/>
          <w:sz w:val="26"/>
        </w:rPr>
        <w:t>1.5 Conclusion of Introduction</w:t>
      </w:r>
    </w:p>
    <w:p>
      <w:pPr>
        <w:spacing w:before="40" w:after="120" w:line="276" w:lineRule="auto"/>
        <w:jc w:val="both"/>
      </w:pPr>
      <w:r>
        <w:t>In summary, the proposed Two-Tier Cascaded Guardrail successfully resolves the tension between verification depth and real-time throughput. By uniting fast bi-encoder similarity metrics, targeted numerical fabrication heuristics, a custom PyTorch MLP, and selective DeBERTa-v3 NLI entailment verification, the system establishes a practical, empirically validated blueprint for real-time LLM reliability.</w:t>
      </w:r>
    </w:p>
    <w:p>
      <w:pPr>
        <w:keepNext/>
        <w:spacing w:before="360" w:after="120"/>
        <w:pBdr>
          <w:bottom w:val="single" w:sz="8" w:space="4" w:color="1E3A8A"/>
        </w:pBdr>
      </w:pPr>
      <w:r>
        <w:rPr>
          <w:rFonts w:ascii="Calibri" w:hAnsi="Calibri"/>
          <w:b/>
          <w:color w:val="1E3A8A"/>
          <w:sz w:val="32"/>
        </w:rPr>
        <w:t>2. Literature Review</w:t>
      </w:r>
    </w:p>
    <w:p>
      <w:pPr>
        <w:spacing w:before="40" w:after="120" w:line="276" w:lineRule="auto"/>
        <w:jc w:val="both"/>
      </w:pPr>
      <w:r>
        <w:t>To situate our predictive analysis framework within established academic research, we review six peer-reviewed journal publications (strictly excluding conference proceedings) spanning hallucination taxonomies, semantic uncertainty quantification, textual entailment verification, and graph/source-based detection architectures:</w:t>
      </w:r>
    </w:p>
    <w:p>
      <w:pPr>
        <w:pStyle w:val="ListBullet"/>
        <w:spacing w:before="40" w:after="80" w:line="276" w:lineRule="auto"/>
        <w:jc w:val="both"/>
      </w:pPr>
      <w:r>
        <w:rPr>
          <w:b/>
        </w:rPr>
        <w:t xml:space="preserve">1. Ji, Z., Lee, N., Frieske, R., Yu, T., Su, D., Xu, Y., Ishii, E., Bang, Y. J., Madotto, A., &amp; Fung, P. (2023). 'Survey of Hallucination in Natural Language Generation.' ACM Computing Surveys, 55(12), Article 248, pp. 1–38. </w:t>
      </w:r>
      <w:r>
        <w:t>This foundational journal survey establishes a comprehensive taxonomy of hallucinations across natural language generation tasks, including abstractive summarization, dialogue generation, and generative question answering. The authors formalize the distinction between 'intrinsic hallucinations' (outputs that directly contradict the provided source context) and 'extrinsic hallucinations' (outputs that fabricate unverifiable details absent from the source). Crucially, Ji et al. demonstrate that traditional surface n-gram metrics (such as ROUGE and BLEU) correlate poorly with factual faithfulness, motivating the adoption of embedding-based semantic similarity and natural language inference (NLI) entailment models—the exact two-tier paradigm implemented in our guardrail pipeline.</w:t>
      </w:r>
    </w:p>
    <w:p>
      <w:pPr>
        <w:pStyle w:val="ListBullet"/>
        <w:spacing w:before="40" w:after="80" w:line="276" w:lineRule="auto"/>
        <w:jc w:val="both"/>
      </w:pPr>
      <w:r>
        <w:rPr>
          <w:b/>
        </w:rPr>
        <w:t xml:space="preserve">2. Huang, L., Yu, W., Ma, W., Zhong, W., Feng, Z., Wang, H., Chen, Q., Peng, W., Feng, X., Qin, B., &amp; Liu, T. (2025). 'A Survey on Hallucination in Large Language Models: Principles, Taxonomy, Challenges, and Open Questions.' ACM Transactions on Information Systems (TOIS), 43(2), pp. 1–55. </w:t>
      </w:r>
      <w:r>
        <w:t>Focusing specifically on autoregressive Large Language Models, Huang et al. categorize LLM failure modes into 'Factuality Hallucinations' (factual contradiction and entity fabrication) and 'Faithfulness Hallucinations' (instruction, context, and logical inconsistencies). Their analysis of inference-time mitigation strategies highlights the computational bottleneck of running large verifier models on every generated token sequence. Our project directly addresses this challenge by engineering an 8-feature Tier-1 screening ensemble—incorporating an unsupported number ratio to catch factual fabrications and prompt-response cosine similarity to catch instruction drift—before selectively invoking Tier-2 NLI verification.</w:t>
      </w:r>
    </w:p>
    <w:p>
      <w:pPr>
        <w:pStyle w:val="ListBullet"/>
        <w:spacing w:before="40" w:after="80" w:line="276" w:lineRule="auto"/>
        <w:jc w:val="both"/>
      </w:pPr>
      <w:r>
        <w:rPr>
          <w:b/>
        </w:rPr>
        <w:t xml:space="preserve">3. Farquhar, S., Kossen, J., Kuhn, L., &amp; Gal, Y. (2024). 'Detecting hallucinations in large language models using semantic entropy.' Nature, 630(8017), pp. 625–630. </w:t>
      </w:r>
      <w:r>
        <w:t>Published in Nature, Farquhar et al. investigate 'confabulations'—arbitrary and factually incorrect generations produced by LLMs—by estimating uncertainty in semantic meaning-space rather than raw token-probability space. Notably, their methodology relies on bidirectional textual entailment clustering via Natural Language Inference (NLI) tools to determine whether generated responses are semantically consistent. While highly accurate, sampling multiple generations per query incurs an approximately 10x computational overhead. Our cascaded architecture leverages the same core insight—that NLI entailment probabilities (1 - P(entailment)) provide a rigorous mathematical signal for hallucination—while eliminating multi-sample overhead through a single-pass Tier-1 fast-path filter.</w:t>
      </w:r>
    </w:p>
    <w:p>
      <w:pPr>
        <w:pStyle w:val="ListBullet"/>
        <w:spacing w:before="40" w:after="80" w:line="276" w:lineRule="auto"/>
        <w:jc w:val="both"/>
      </w:pPr>
      <w:r>
        <w:rPr>
          <w:b/>
        </w:rPr>
        <w:t xml:space="preserve">4. Deutsch, D., Bedrax-Weiss, T., &amp; Roth, D. (2021). 'Towards Question-Answering as an Automatic Metric for Evaluating the Content Quality of a Summary.' Transactions of the Association for Computational Linguistics (TACL), 9, pp. 774–789. </w:t>
      </w:r>
      <w:r>
        <w:t>Deutsch et al. critically examine automated content quality and factual consistency metrics for text summarization and generation. Their findings reveal that reference-based lexical overlap alone is insufficient when valid responses paraphrase source documents, and that automated verification pipelines suffer from domain shift unless properly calibrated across diverse task distributions. Informed by these findings, our feature engineering pipeline pairs surface lexical Jaccard overlap with dense Sentence-BERT embeddings and trains across four distinct task domains (dialogue, QA, summarization, and general queries) using group-disjoint cross-validation.</w:t>
      </w:r>
    </w:p>
    <w:p>
      <w:pPr>
        <w:pStyle w:val="ListBullet"/>
        <w:spacing w:before="40" w:after="80" w:line="276" w:lineRule="auto"/>
        <w:jc w:val="both"/>
      </w:pPr>
      <w:r>
        <w:rPr>
          <w:b/>
        </w:rPr>
        <w:t xml:space="preserve">5. HaluGNN Research Group (2025). 'HaluGNN: Hallucination Detection in Large Language Models Using Graph Neural Network.' Expert Systems with Applications, 306, Article 130857. </w:t>
      </w:r>
      <w:r>
        <w:t>This journal study demonstrates that framing hallucination detection as a supervised multi-feature classification problem over structured semantic relationships substantially outperforms single-heuristic thresholding. The authors show that combining dense representation learning with explicit structural features improves precision-recall trade-offs on complex benchmarks. Our Tier-1 architecture adopts this supervised learning philosophy by training a 5-model soft-voting ensemble (including a custom PyTorch MLP with LayerNorm and dropout regularization) over engineered semantic and structural features.</w:t>
      </w:r>
    </w:p>
    <w:p>
      <w:pPr>
        <w:pStyle w:val="ListBullet"/>
        <w:spacing w:before="40" w:after="80" w:line="276" w:lineRule="auto"/>
        <w:jc w:val="both"/>
      </w:pPr>
      <w:r>
        <w:rPr>
          <w:b/>
        </w:rPr>
        <w:t xml:space="preserve">6. Kong, L., Zhang, Y., &amp; Chen, X. (2025). 'Hallucination Detection in Large Language Models by Classifying Information Sources.' Expert Systems with Applications, 298, Article 129639. </w:t>
      </w:r>
      <w:r>
        <w:t>Kong et al. investigate how structural variations in source contexts—such as explicit knowledge triples, long narrative documents, or zero-context user prompts—affect hallucination classifiers. They emphasize that missing or implicit source contexts require adaptive fallback mechanisms to prevent classifier degradation. In direct alignment with this principle, our pipeline incorporates an explicit binary indicator (context_missing) and a vectorized reference fallback mechanism that substitutes the normalized user prompt when external grounding context is absent (such as in the 4,507 general query records).</w:t>
      </w:r>
    </w:p>
    <w:p>
      <w:pPr>
        <w:keepNext/>
        <w:spacing w:before="360" w:after="120"/>
        <w:pBdr>
          <w:bottom w:val="single" w:sz="8" w:space="4" w:color="1E3A8A"/>
        </w:pBdr>
      </w:pPr>
      <w:r>
        <w:rPr>
          <w:rFonts w:ascii="Calibri" w:hAnsi="Calibri"/>
          <w:b/>
          <w:color w:val="1E3A8A"/>
          <w:sz w:val="32"/>
        </w:rPr>
        <w:t>3. Methodology / Models</w:t>
      </w:r>
    </w:p>
    <w:p>
      <w:pPr>
        <w:keepNext/>
        <w:spacing w:before="240" w:after="80"/>
      </w:pPr>
      <w:r>
        <w:rPr>
          <w:rFonts w:ascii="Calibri" w:hAnsi="Calibri"/>
          <w:b/>
          <w:color w:val="1D4ED8"/>
          <w:sz w:val="26"/>
        </w:rPr>
        <w:t>3.1 Datasets and Unified Schema</w:t>
      </w:r>
    </w:p>
    <w:p>
      <w:pPr>
        <w:spacing w:before="40" w:after="120" w:line="276" w:lineRule="auto"/>
        <w:jc w:val="both"/>
      </w:pPr>
      <w:r>
        <w:t>The empirical foundation of this project is the HaluEval (Hallucination Evaluation) benchmark dataset, retrieved from the repository https://github.com/Enitity505/HaluEval.git (originally curated by RUC AI Box at https://github.com/RUCAIBox/HaluEval). The raw corpus comprises four JSON-Lines files representing distinct NLG tasks:</w:t>
      </w:r>
    </w:p>
    <w:p>
      <w:pPr>
        <w:pStyle w:val="ListBullet"/>
        <w:spacing w:before="40" w:after="80" w:line="276" w:lineRule="auto"/>
        <w:jc w:val="both"/>
      </w:pPr>
      <w:r>
        <w:rPr>
          <w:b/>
        </w:rPr>
        <w:t xml:space="preserve">Dialogue Dataset (HaluEval/data/dialogue_data.json): </w:t>
      </w:r>
      <w:r>
        <w:t>10,000 raw records grounded on knowledge-graph triples and multi-turn conversational history, containing both a factual response (right_response) and a fabricated response (hallucinated_response). Expanded into 20,000 labeled rows.</w:t>
      </w:r>
    </w:p>
    <w:p>
      <w:pPr>
        <w:pStyle w:val="ListBullet"/>
        <w:spacing w:before="40" w:after="80" w:line="276" w:lineRule="auto"/>
        <w:jc w:val="both"/>
      </w:pPr>
      <w:r>
        <w:rPr>
          <w:b/>
        </w:rPr>
        <w:t xml:space="preserve">Question Answering Dataset (HaluEval/data/qa_data.json): </w:t>
      </w:r>
      <w:r>
        <w:t>10,000 raw records grounded on Wikipedia passages and complex multi-hop questions, containing paired factual (right_answer) and hallucinated answers (hallucinated_answer). Expanded into 20,000 labeled rows.</w:t>
      </w:r>
    </w:p>
    <w:p>
      <w:pPr>
        <w:pStyle w:val="ListBullet"/>
        <w:spacing w:before="40" w:after="80" w:line="276" w:lineRule="auto"/>
        <w:jc w:val="both"/>
      </w:pPr>
      <w:r>
        <w:rPr>
          <w:b/>
        </w:rPr>
        <w:t xml:space="preserve">Summarization Dataset (HaluEval/data/summarization_data.json): </w:t>
      </w:r>
      <w:r>
        <w:t>10,000 raw news articles paired with faithful summaries (right_summary) and unfaithful summaries (hallucinated_summary). Expanded into 20,000 labeled rows using a standardized default prompt ('Summarize the document.').</w:t>
      </w:r>
    </w:p>
    <w:p>
      <w:pPr>
        <w:pStyle w:val="ListBullet"/>
        <w:spacing w:before="40" w:after="80" w:line="276" w:lineRule="auto"/>
        <w:jc w:val="both"/>
      </w:pPr>
      <w:r>
        <w:rPr>
          <w:b/>
        </w:rPr>
        <w:t xml:space="preserve">General Query Dataset (HaluEval/data/general_data.json): </w:t>
      </w:r>
      <w:r>
        <w:t>4,507 open-domain user queries paired with actual ChatGPT responses and human binary annotations (hallucination: yes/no).</w:t>
      </w:r>
    </w:p>
    <w:p>
      <w:pPr>
        <w:keepNext/>
        <w:spacing w:before="120"/>
      </w:pPr>
      <w:r>
        <w:rPr>
          <w:b/>
          <w:sz w:val="21"/>
        </w:rPr>
        <w:t>Table 1: Unified HaluEval Dataset Composition and Schema Breakdown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Task Subset</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Source File</w:t>
            </w:r>
          </w:p>
        </w:tc>
        <w:tc>
          <w:tcPr>
            <w:tcW w:type="dxa" w:w="158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Raw Records</w:t>
            </w:r>
          </w:p>
        </w:tc>
        <w:tc>
          <w:tcPr>
            <w:tcW w:type="dxa" w:w="158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Unified Rows</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Grounding Reference</w:t>
            </w:r>
          </w:p>
        </w:tc>
      </w:tr>
      <w:tr>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Dialogue</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dialogue_data.json</w:t>
            </w:r>
          </w:p>
        </w:tc>
        <w:tc>
          <w:tcPr>
            <w:tcW w:type="dxa" w:w="158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10,000 (Paired)</w:t>
            </w:r>
          </w:p>
        </w:tc>
        <w:tc>
          <w:tcPr>
            <w:tcW w:type="dxa" w:w="158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20,000</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Knowledge Triples</w:t>
            </w:r>
          </w:p>
        </w:tc>
      </w:tr>
      <w:tr>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Question Answering</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qa_data.json</w:t>
            </w:r>
          </w:p>
        </w:tc>
        <w:tc>
          <w:tcPr>
            <w:tcW w:type="dxa" w:w="158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10,000 (Paired)</w:t>
            </w:r>
          </w:p>
        </w:tc>
        <w:tc>
          <w:tcPr>
            <w:tcW w:type="dxa" w:w="158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20,000</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Wikipedia Passages</w:t>
            </w:r>
          </w:p>
        </w:tc>
      </w:tr>
      <w:tr>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Summarization</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summarization_data.json</w:t>
            </w:r>
          </w:p>
        </w:tc>
        <w:tc>
          <w:tcPr>
            <w:tcW w:type="dxa" w:w="158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10,000 (Paired)</w:t>
            </w:r>
          </w:p>
        </w:tc>
        <w:tc>
          <w:tcPr>
            <w:tcW w:type="dxa" w:w="158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20,000</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Source News Article</w:t>
            </w:r>
          </w:p>
        </w:tc>
      </w:tr>
      <w:tr>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General Queries</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general_data.json</w:t>
            </w:r>
          </w:p>
        </w:tc>
        <w:tc>
          <w:tcPr>
            <w:tcW w:type="dxa" w:w="158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4,507 (Single)</w:t>
            </w:r>
          </w:p>
        </w:tc>
        <w:tc>
          <w:tcPr>
            <w:tcW w:type="dxa" w:w="158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4,507</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User Query Fallback</w:t>
            </w:r>
          </w:p>
        </w:tc>
      </w:tr>
      <w:tr>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Total Unified Corpus</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All 4 Subsets</w:t>
            </w:r>
          </w:p>
        </w:tc>
        <w:tc>
          <w:tcPr>
            <w:tcW w:type="dxa" w:w="158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34,507 Raw</w:t>
            </w:r>
          </w:p>
        </w:tc>
        <w:tc>
          <w:tcPr>
            <w:tcW w:type="dxa" w:w="158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64,507 Rows</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Unified Triplet Schema</w:t>
            </w:r>
          </w:p>
        </w:tc>
      </w:tr>
    </w:tbl>
    <w:p>
      <w:pPr>
        <w:spacing w:before="40" w:after="120" w:line="276" w:lineRule="auto"/>
        <w:jc w:val="both"/>
      </w:pPr>
      <w:r>
        <w:t>A critical methodological contribution of our data integration pipeline is the prevention of twin-context leakage. Because each raw record in the Dialogue, QA, and Summarization subsets produces two rows (is_hallucination = 0 and is_hallucination = 1) sharing the exact same context and prompt, a naive random train/test split would place one twin in the training set and its counterpart in the test set, artificially inflating performance. We assign a shared group_id (e.g., dialogue_idx, qa_idx) to both variants and enforce a strict 80/20 group-disjoint, class-stratified split via StratifiedGroupKFold (n_splits = 5, random_state = 42), resulting in 51,604 training samples (after dropping 2 empty response rows during validation) and 12,901 strictly held-out test samples (6,721 Safe [0]; 6,180 Hallucination [1]).</w:t>
      </w:r>
    </w:p>
    <w:p>
      <w:pPr>
        <w:keepNext/>
        <w:spacing w:before="240" w:after="80"/>
      </w:pPr>
      <w:r>
        <w:rPr>
          <w:rFonts w:ascii="Calibri" w:hAnsi="Calibri"/>
          <w:b/>
          <w:color w:val="1D4ED8"/>
          <w:sz w:val="26"/>
        </w:rPr>
        <w:t>3.2 Text Normalization and Feature Engineering Pipeline</w:t>
      </w:r>
    </w:p>
    <w:p>
      <w:pPr>
        <w:spacing w:before="40" w:after="120" w:line="276" w:lineRule="auto"/>
        <w:jc w:val="both"/>
      </w:pPr>
      <w:r>
        <w:t>To guarantee zero train-serve skew between batch feature extraction and real-time production inference, all text fields (context, prompt, response) pass through an identical normalization function that converts strings to lowercase, strips leading/trailing whitespace, collapses multi-space sequences, and removes Unicode punctuation. When a record lacks external context (such as in the General subset), the binary flag context_missing is set to 1 and reference_text automatically falls back to prompt_clean. We then engineer an 8-dimensional numerical feature vector (X):</w:t>
      </w:r>
    </w:p>
    <w:p>
      <w:pPr>
        <w:keepNext/>
        <w:spacing w:before="120"/>
      </w:pPr>
      <w:r>
        <w:rPr>
          <w:b/>
          <w:sz w:val="21"/>
        </w:rPr>
        <w:t>Table 2: Engineered Numerical Feature Interface (Schema v2.0)</w:t>
      </w:r>
    </w:p>
    <w:tbl>
      <w:tblPr>
        <w:tblW w:type="auto" w:w="0"/>
        <w:jc w:val="center"/>
        <w:tblLook w:firstColumn="1" w:firstRow="1" w:lastColumn="0" w:lastRow="0" w:noHBand="0" w:noVBand="1" w:val="04A0"/>
      </w:tblPr>
      <w:tblGrid>
        <w:gridCol w:w="2340"/>
        <w:gridCol w:w="2340"/>
        <w:gridCol w:w="2340"/>
        <w:gridCol w:w="2340"/>
      </w:tblGrid>
      <w:tr>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Feature Name</w:t>
            </w:r>
          </w:p>
        </w:tc>
        <w:tc>
          <w:tcPr>
            <w:tcW w:type="dxa" w:w="144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Type &amp; Range</w:t>
            </w:r>
          </w:p>
        </w:tc>
        <w:tc>
          <w:tcPr>
            <w:tcW w:type="dxa" w:w="316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Mathematical / Algorithmic Formulation</w:t>
            </w:r>
          </w:p>
        </w:tc>
        <w:tc>
          <w:tcPr>
            <w:tcW w:type="dxa" w:w="259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Predictive Signal</w:t>
            </w:r>
          </w:p>
        </w:tc>
      </w:tr>
      <w:tr>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cosine_similarity</w:t>
            </w:r>
          </w:p>
        </w:tc>
        <w:tc>
          <w:tcPr>
            <w:tcW w:type="dxa" w:w="144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Float [-1.0, 1.0]</w:t>
            </w:r>
          </w:p>
        </w:tc>
        <w:tc>
          <w:tcPr>
            <w:tcW w:type="dxa" w:w="316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Cosine similarity between 384-d Sentence-BERT embeddings of reference_text and response.</w:t>
            </w:r>
          </w:p>
        </w:tc>
        <w:tc>
          <w:tcPr>
            <w:tcW w:type="dxa" w:w="259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Captures deep semantic grounding against source facts.</w:t>
            </w:r>
          </w:p>
        </w:tc>
      </w:tr>
      <w:tr>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prompt_response_cosine</w:t>
            </w:r>
          </w:p>
        </w:tc>
        <w:tc>
          <w:tcPr>
            <w:tcW w:type="dxa" w:w="144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Float [-1.0, 1.0]</w:t>
            </w:r>
          </w:p>
        </w:tc>
        <w:tc>
          <w:tcPr>
            <w:tcW w:type="dxa" w:w="316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Cosine similarity between 384-d Sentence-BERT embeddings of prompt_clean and response.</w:t>
            </w:r>
          </w:p>
        </w:tc>
        <w:tc>
          <w:tcPr>
            <w:tcW w:type="dxa" w:w="259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Detects topic drift, evasion, and instruction non-compliance.</w:t>
            </w:r>
          </w:p>
        </w:tc>
      </w:tr>
      <w:tr>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reference_length</w:t>
            </w:r>
          </w:p>
        </w:tc>
        <w:tc>
          <w:tcPr>
            <w:tcW w:type="dxa" w:w="144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Int [0, inf)</w:t>
            </w:r>
          </w:p>
        </w:tc>
        <w:tc>
          <w:tcPr>
            <w:tcW w:type="dxa" w:w="316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Whitespace-delimited word token count of normalized reference_text.</w:t>
            </w:r>
          </w:p>
        </w:tc>
        <w:tc>
          <w:tcPr>
            <w:tcW w:type="dxa" w:w="259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Quantifies grounding information density.</w:t>
            </w:r>
          </w:p>
        </w:tc>
      </w:tr>
      <w:tr>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response_length</w:t>
            </w:r>
          </w:p>
        </w:tc>
        <w:tc>
          <w:tcPr>
            <w:tcW w:type="dxa" w:w="144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Int [0, inf)</w:t>
            </w:r>
          </w:p>
        </w:tc>
        <w:tc>
          <w:tcPr>
            <w:tcW w:type="dxa" w:w="316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Whitespace-delimited word token count of normalized response_clean.</w:t>
            </w:r>
          </w:p>
        </w:tc>
        <w:tc>
          <w:tcPr>
            <w:tcW w:type="dxa" w:w="259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Detects overly verbose or truncated generations.</w:t>
            </w:r>
          </w:p>
        </w:tc>
      </w:tr>
      <w:tr>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length_ratio</w:t>
            </w:r>
          </w:p>
        </w:tc>
        <w:tc>
          <w:tcPr>
            <w:tcW w:type="dxa" w:w="144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Float [0.0, inf)</w:t>
            </w:r>
          </w:p>
        </w:tc>
        <w:tc>
          <w:tcPr>
            <w:tcW w:type="dxa" w:w="316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response_length / reference_length (with zero-division protection).</w:t>
            </w:r>
          </w:p>
        </w:tc>
        <w:tc>
          <w:tcPr>
            <w:tcW w:type="dxa" w:w="259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Flags abnormal compression or over-extrapolation.</w:t>
            </w:r>
          </w:p>
        </w:tc>
      </w:tr>
      <w:tr>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lexical_overlap</w:t>
            </w:r>
          </w:p>
        </w:tc>
        <w:tc>
          <w:tcPr>
            <w:tcW w:type="dxa" w:w="144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Float [0.0, 1.0]</w:t>
            </w:r>
          </w:p>
        </w:tc>
        <w:tc>
          <w:tcPr>
            <w:tcW w:type="dxa" w:w="316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Jaccard similarity |Tokens(ref) n Tokens(resp)| / |Tokens(ref) u Tokens(resp)|.</w:t>
            </w:r>
          </w:p>
        </w:tc>
        <w:tc>
          <w:tcPr>
            <w:tcW w:type="dxa" w:w="259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Measures surface-level vocabulary grounding.</w:t>
            </w:r>
          </w:p>
        </w:tc>
      </w:tr>
      <w:tr>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unsupported_number_ratio</w:t>
            </w:r>
          </w:p>
        </w:tc>
        <w:tc>
          <w:tcPr>
            <w:tcW w:type="dxa" w:w="144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Float [0.0, 1.0]</w:t>
            </w:r>
          </w:p>
        </w:tc>
        <w:tc>
          <w:tcPr>
            <w:tcW w:type="dxa" w:w="316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Fraction of numeric tokens (\b\d+\b) in response absent from reference_text.</w:t>
            </w:r>
          </w:p>
        </w:tc>
        <w:tc>
          <w:tcPr>
            <w:tcW w:type="dxa" w:w="259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Highly potent detector of fabricated dates, quantities, and stats.</w:t>
            </w:r>
          </w:p>
        </w:tc>
      </w:tr>
      <w:tr>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context_missing</w:t>
            </w:r>
          </w:p>
        </w:tc>
        <w:tc>
          <w:tcPr>
            <w:tcW w:type="dxa" w:w="144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Binary {0, 1}</w:t>
            </w:r>
          </w:p>
        </w:tc>
        <w:tc>
          <w:tcPr>
            <w:tcW w:type="dxa" w:w="316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1 if context_clean is empty (fallback to prompt_clean); 0 otherwise.</w:t>
            </w:r>
          </w:p>
        </w:tc>
        <w:tc>
          <w:tcPr>
            <w:tcW w:type="dxa" w:w="259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Allows models to adjust decision boundaries for zero-context queries.</w:t>
            </w:r>
          </w:p>
        </w:tc>
      </w:tr>
    </w:tbl>
    <w:p>
      <w:pPr>
        <w:keepNext/>
        <w:spacing w:before="240" w:after="80"/>
      </w:pPr>
      <w:r>
        <w:rPr>
          <w:rFonts w:ascii="Calibri" w:hAnsi="Calibri"/>
          <w:b/>
          <w:color w:val="1D4ED8"/>
          <w:sz w:val="26"/>
        </w:rPr>
        <w:t>3.3 Tier-1 Multi-Model Voting Ensemble &amp; Custom PyTorch ANN</w:t>
      </w:r>
    </w:p>
    <w:p>
      <w:pPr>
        <w:spacing w:before="40" w:after="120" w:line="276" w:lineRule="auto"/>
        <w:jc w:val="both"/>
      </w:pPr>
      <w:r>
        <w:t>Prior to model fitting, the 8-dimensional feature matrix X is standardized to zero mean and unit variance using StandardScaler fit strictly within each training fold. Tier-1 combines five heterogeneous base learners into a soft-voting ensemble (VotingClassifier(voting='soft')) that averages predicted class-1 probabilities:</w:t>
      </w:r>
    </w:p>
    <w:p>
      <w:pPr>
        <w:pStyle w:val="ListBullet"/>
        <w:spacing w:before="40" w:after="80" w:line="276" w:lineRule="auto"/>
        <w:jc w:val="both"/>
      </w:pPr>
      <w:r>
        <w:rPr>
          <w:b/>
        </w:rPr>
        <w:t xml:space="preserve">1. Logistic Regression (LR): </w:t>
      </w:r>
      <w:r>
        <w:t>Configured with class_weight='balanced' and max_iter=1000 to provide a calibrated linear baseline.</w:t>
      </w:r>
    </w:p>
    <w:p>
      <w:pPr>
        <w:pStyle w:val="ListBullet"/>
        <w:spacing w:before="40" w:after="80" w:line="276" w:lineRule="auto"/>
        <w:jc w:val="both"/>
      </w:pPr>
      <w:r>
        <w:rPr>
          <w:b/>
        </w:rPr>
        <w:t xml:space="preserve">2. Random Forest Classifier (RF): </w:t>
      </w:r>
      <w:r>
        <w:t>Configured with n_estimators=100, class_weight='balanced', and parallelized execution (n_jobs=-1) to capture non-linear feature interactions.</w:t>
      </w:r>
    </w:p>
    <w:p>
      <w:pPr>
        <w:pStyle w:val="ListBullet"/>
        <w:spacing w:before="40" w:after="80" w:line="276" w:lineRule="auto"/>
        <w:jc w:val="both"/>
      </w:pPr>
      <w:r>
        <w:rPr>
          <w:b/>
        </w:rPr>
        <w:t xml:space="preserve">3. Decision Tree Classifier (DT): </w:t>
      </w:r>
      <w:r>
        <w:t>Configured with class_weight='balanced' to model axis-aligned hierarchical rules.</w:t>
      </w:r>
    </w:p>
    <w:p>
      <w:pPr>
        <w:pStyle w:val="ListBullet"/>
        <w:spacing w:before="40" w:after="80" w:line="276" w:lineRule="auto"/>
        <w:jc w:val="both"/>
      </w:pPr>
      <w:r>
        <w:rPr>
          <w:b/>
        </w:rPr>
        <w:t xml:space="preserve">4. Support Vector Classifier (SVM): </w:t>
      </w:r>
      <w:r>
        <w:t>Configured with an RBF kernel, probability=True (Platt scaling), and class_weight='balanced' to construct maximum-margin non-linear decision boundaries.</w:t>
      </w:r>
    </w:p>
    <w:p>
      <w:pPr>
        <w:pStyle w:val="ListBullet"/>
        <w:spacing w:before="40" w:after="80" w:line="276" w:lineRule="auto"/>
        <w:jc w:val="both"/>
      </w:pPr>
      <w:r>
        <w:rPr>
          <w:b/>
        </w:rPr>
        <w:t xml:space="preserve">5. PyTorch Multi-Layer Perceptron (TorchMLPClassifier / ANN): </w:t>
      </w:r>
      <w:r>
        <w:t>A custom scikit-learn compatible deep neural network wrapper encapsulating a feed-forward architecture (_HallucinationMLP: 8 -&gt; 128 -&gt; 64 -&gt; 1). Each hidden block applies a Linear projection, LayerNorm (chosen specifically over BatchNorm so single-sample real-time inference with batch_size=1 never fails), ReLU activation, and Dropout (p = 0.2). Class imbalance is handled via BCEWithLogitsLoss(pos_weight = negatives/positives). The network is trained using the AdamW optimizer (lr = 1e-3, weight_decay = 1e-4, gradient clipping max_norm = 5.0, batch_size = 256) for up to 30 epochs, with early stopping (patience = 5) tracking validation Average Precision on an inner 10% stratified split and parking weights on CPU post-training for portable serialization.</w:t>
      </w:r>
    </w:p>
    <w:p>
      <w:pPr>
        <w:keepNext/>
        <w:spacing w:before="240" w:after="80"/>
      </w:pPr>
      <w:r>
        <w:rPr>
          <w:rFonts w:ascii="Calibri" w:hAnsi="Calibri"/>
          <w:b/>
          <w:color w:val="1D4ED8"/>
          <w:sz w:val="26"/>
        </w:rPr>
        <w:t>3.4 Tier-2 Cross-Encoder NLI Verifier and Cascade Gating</w:t>
      </w:r>
    </w:p>
    <w:p>
      <w:pPr>
        <w:spacing w:before="40" w:after="120" w:line="276" w:lineRule="auto"/>
        <w:jc w:val="both"/>
      </w:pPr>
      <w:r>
        <w:t>While bi-encoder cosine similarity is computationally fast, encoding the premise and hypothesis separately can miss subtle logical negations or entity swaps (e.g., 'The Eiffel Tower is in Rome' vs. 'Paris'). To resolve ambiguous cases without sacrificing overall system throughput, we implement a confidence-gated cascade:</w:t>
      </w:r>
    </w:p>
    <w:p>
      <w:pPr>
        <w:pStyle w:val="ListBullet"/>
        <w:spacing w:before="40" w:after="80" w:line="276" w:lineRule="auto"/>
        <w:jc w:val="both"/>
      </w:pPr>
      <w:r>
        <w:rPr>
          <w:b/>
        </w:rPr>
        <w:t xml:space="preserve">Tier-1 Operating Threshold Calibration: </w:t>
      </w:r>
      <w:r>
        <w:t>Using 5-fold StratifiedGroupKFold on the 51,604 training samples, the Tier-1 soft-voting ensemble achieves an Out-of-Fold (OOF) Average Precision of 0.877. Evaluating the precision-recall curve under our operational constraint (Precision &gt;= 0.75) yields an optimal Tier-1 operating threshold of T1 = 0.433.</w:t>
      </w:r>
    </w:p>
    <w:p>
      <w:pPr>
        <w:pStyle w:val="ListBullet"/>
        <w:spacing w:before="40" w:after="80" w:line="276" w:lineRule="auto"/>
        <w:jc w:val="both"/>
      </w:pPr>
      <w:r>
        <w:rPr>
          <w:b/>
        </w:rPr>
        <w:t xml:space="preserve">Uncertainty Gate ([0.35, 0.65]): </w:t>
      </w:r>
      <w:r>
        <w:t>Any sample whose Tier-1 risk score falls within the interval [gate_low = 0.35, gate_high = 0.65] is deemed uncertain and routed to Tier-2. Across the training set, exactly 24.7% (12,763 / 51,604) of samples enter this gate, while 75.3% exit immediately via the Tier-1 Confident Fast-Path.</w:t>
      </w:r>
    </w:p>
    <w:p>
      <w:pPr>
        <w:pStyle w:val="ListBullet"/>
        <w:spacing w:before="40" w:after="80" w:line="276" w:lineRule="auto"/>
        <w:jc w:val="both"/>
      </w:pPr>
      <w:r>
        <w:rPr>
          <w:b/>
        </w:rPr>
        <w:t xml:space="preserve">Tier-2 DeBERTa-v3 NLI Scoring &amp; Blending: </w:t>
      </w:r>
      <w:r>
        <w:t>Gated samples are evaluated by cross-encoder/nli-deberta-v3-small (max_length = 512), which performs full cross-attention over the (Premise, Hypothesis) pair and outputs softmax probabilities across Contradiction, Neutral, and Entailment. We define the Tier-2 hallucination risk score as 1.0 - P(Entailment). The final cascaded score is computed via convex combination: Final_Score = (0.4 * Tier1_Score) + (0.6 * Tier2_Score), evaluated against a separately tuned gated threshold of T2 = 0.860.</w:t>
      </w:r>
    </w:p>
    <w:p>
      <w:pPr>
        <w:keepNext/>
        <w:spacing w:before="360" w:after="120"/>
        <w:pBdr>
          <w:bottom w:val="single" w:sz="8" w:space="4" w:color="1E3A8A"/>
        </w:pBdr>
      </w:pPr>
      <w:r>
        <w:rPr>
          <w:rFonts w:ascii="Calibri" w:hAnsi="Calibri"/>
          <w:b/>
          <w:color w:val="1E3A8A"/>
          <w:sz w:val="32"/>
        </w:rPr>
        <w:t>4. Results &amp; Discussion</w:t>
      </w:r>
    </w:p>
    <w:p>
      <w:pPr>
        <w:keepNext/>
        <w:spacing w:before="240" w:after="80"/>
      </w:pPr>
      <w:r>
        <w:rPr>
          <w:rFonts w:ascii="Calibri" w:hAnsi="Calibri"/>
          <w:b/>
          <w:color w:val="1D4ED8"/>
          <w:sz w:val="26"/>
        </w:rPr>
        <w:t>4.1 Tier-1 Base Learner Diagnostic Comparison</w:t>
      </w:r>
    </w:p>
    <w:p>
      <w:pPr>
        <w:spacing w:before="40" w:after="120" w:line="276" w:lineRule="auto"/>
        <w:jc w:val="both"/>
      </w:pPr>
      <w:r>
        <w:t>Before evaluating the full two-tier cascade, we benchmarked each individual Tier-1 estimator and the combined soft-voting ensemble on the strictly held-out test set of 12,901 samples (df_test). Table 3 summarizes the Average Precision (AP) and wall-clock inference latency across all 12,901 test instances.</w:t>
      </w:r>
    </w:p>
    <w:p>
      <w:pPr>
        <w:keepNext/>
        <w:spacing w:before="120"/>
      </w:pPr>
      <w:r>
        <w:rPr>
          <w:b/>
          <w:sz w:val="21"/>
        </w:rPr>
        <w:t>Table 3: Tier-1 Base Learners vs. Voting Ensemble on Held-Out Test Set (N = 12,901)</w:t>
      </w:r>
    </w:p>
    <w:tbl>
      <w:tblPr>
        <w:tblW w:type="auto" w:w="0"/>
        <w:jc w:val="center"/>
        <w:tblLook w:firstColumn="1" w:firstRow="1" w:lastColumn="0" w:lastRow="0" w:noHBand="0" w:noVBand="1" w:val="04A0"/>
      </w:tblPr>
      <w:tblGrid>
        <w:gridCol w:w="2340"/>
        <w:gridCol w:w="2340"/>
        <w:gridCol w:w="2340"/>
        <w:gridCol w:w="2340"/>
      </w:tblGrid>
      <w:tr>
        <w:tc>
          <w:tcPr>
            <w:tcW w:type="dxa" w:w="316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Model Architecture</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Test Average Precision (AP)</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Total Inference Time (ms)</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Latency per Sample (ms)</w:t>
            </w:r>
          </w:p>
        </w:tc>
      </w:tr>
      <w:tr>
        <w:tc>
          <w:tcPr>
            <w:tcW w:type="dxa" w:w="316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PyTorch ANN (TorchMLPClassifier)</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0.8914 (Rank 1)</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137.8174 ms</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0.0107 ms</w:t>
            </w:r>
          </w:p>
        </w:tc>
      </w:tr>
      <w:tr>
        <w:tc>
          <w:tcPr>
            <w:tcW w:type="dxa" w:w="316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Random Forest (RF, 100 trees)</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0.8833 (Rank 2)</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170.9770 ms</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0.0133 ms</w:t>
            </w:r>
          </w:p>
        </w:tc>
      </w:tr>
      <w:tr>
        <w:tc>
          <w:tcPr>
            <w:tcW w:type="dxa" w:w="316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Tier-1 Soft-Voting Ensemble</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0.8760 (Rank 3)</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14,691.3434 ms</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1.1388 ms</w:t>
            </w:r>
          </w:p>
        </w:tc>
      </w:tr>
      <w:tr>
        <w:tc>
          <w:tcPr>
            <w:tcW w:type="dxa" w:w="316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Support Vector Machine (SVM)</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0.8542 (Rank 4)</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14,367.4514 ms</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1.1137 ms</w:t>
            </w:r>
          </w:p>
        </w:tc>
      </w:tr>
      <w:tr>
        <w:tc>
          <w:tcPr>
            <w:tcW w:type="dxa" w:w="316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Logistic Regression (LR)</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0.8151 (Rank 5)</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1.0331 ms</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0.0001 ms</w:t>
            </w:r>
          </w:p>
        </w:tc>
      </w:tr>
      <w:tr>
        <w:tc>
          <w:tcPr>
            <w:tcW w:type="dxa" w:w="316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Decision Tree (DT)</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0.6475 (Rank 6)</w:t>
            </w:r>
          </w:p>
        </w:tc>
        <w:tc>
          <w:tcPr>
            <w:tcW w:type="dxa" w:w="2160"/>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2.5061 ms</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0.0002 ms</w:t>
            </w:r>
          </w:p>
        </w:tc>
      </w:tr>
    </w:tbl>
    <w:p>
      <w:pPr>
        <w:spacing w:before="40" w:after="120" w:line="276" w:lineRule="auto"/>
        <w:jc w:val="both"/>
      </w:pPr>
      <w:r>
        <w:t>Discussion of Tier-1 Diagnostics: The custom PyTorch ANN (TorchMLPClassifier) emerged as the single strongest model on unseen data, achieving a Test AP of 0.8914 (with a peak inner validation AP of 0.8945 during training) while requiring only 0.0107 ms per sample. Evaluated standalone at the deployed Tier-1 operating threshold (0.433), the ANN achieved an overall accuracy of 78.64%, balancing Hallucination Precision (75.50%) and Hallucination Recall (82.02%), with TN = 5,076, FP = 1,645, FN = 1,111, and TP = 5,069. Random Forest closely followed with an AP of 0.8833 (0.0133 ms/sample). Notably, while the 5-model Soft-Voting Ensemble achieved a strong AP of 0.8760, its total inference time (14.69 seconds for 12,901 samples) was dominated by the O(N_support_vectors) complexity of the SVM base learner (14.37 seconds) and slightly dragged down in AP by the unregularized Decision Tree (AP = 0.6475).</w:t>
      </w:r>
    </w:p>
    <w:p>
      <w:pPr>
        <w:keepNext/>
        <w:spacing w:before="240" w:after="80"/>
      </w:pPr>
      <w:r>
        <w:rPr>
          <w:rFonts w:ascii="Calibri" w:hAnsi="Calibri"/>
          <w:b/>
          <w:color w:val="1D4ED8"/>
          <w:sz w:val="26"/>
        </w:rPr>
        <w:t>4.2 Unbiased End-to-End Cascaded Pipeline Performance</w:t>
      </w:r>
    </w:p>
    <w:p>
      <w:pPr>
        <w:spacing w:before="40" w:after="120" w:line="276" w:lineRule="auto"/>
        <w:jc w:val="both"/>
      </w:pPr>
      <w:r>
        <w:t>We next evaluated the complete Two-Tier Cascaded Guardrail Pipeline across all 12,901 held-out test records on a Tesla T4 GPU. Exactly 9,682 samples (75.0%) were resolved immediately by the Tier-1 Confident Fast-Path, while 3,219 samples (25.0%) fell inside the [0.35, 0.65] uncertainty gate and triggered the Tier-2 DeBERTa-v3 NLI verifier. Table 4 presents the side-by-side classification metrics of the standalone ANN versus the full Cascaded Pipeline.</w:t>
      </w:r>
    </w:p>
    <w:p>
      <w:pPr>
        <w:keepNext/>
        <w:spacing w:before="120"/>
      </w:pPr>
      <w:r>
        <w:rPr>
          <w:b/>
          <w:sz w:val="21"/>
        </w:rPr>
        <w:t>Table 4: Held-Out Test Set Classification Performance (N = 12,901)</w:t>
      </w:r>
    </w:p>
    <w:tbl>
      <w:tblPr>
        <w:tblW w:type="auto" w:w="0"/>
        <w:jc w:val="center"/>
        <w:tblLook w:firstColumn="1" w:firstRow="1" w:lastColumn="0" w:lastRow="0" w:noHBand="0" w:noVBand="1" w:val="04A0"/>
      </w:tblPr>
      <w:tblGrid>
        <w:gridCol w:w="1872"/>
        <w:gridCol w:w="1872"/>
        <w:gridCol w:w="1872"/>
        <w:gridCol w:w="1872"/>
        <w:gridCol w:w="1872"/>
      </w:tblGrid>
      <w:tr>
        <w:tc>
          <w:tcPr>
            <w:tcW w:type="dxa" w:w="230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Evaluation Metric / Class</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Standalone PyTorch ANN (T1 = 0.433)</w:t>
            </w:r>
          </w:p>
        </w:tc>
        <w:tc>
          <w:tcPr>
            <w:tcW w:type="dxa" w:w="2016"/>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Two-Tier Cascaded Pipeline (T1=0.433, T2=0.860)</w:t>
            </w:r>
          </w:p>
        </w:tc>
        <w:tc>
          <w:tcPr>
            <w:tcW w:type="dxa" w:w="1296"/>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True Support</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Operational Impact</w:t>
            </w:r>
          </w:p>
        </w:tc>
      </w:tr>
      <w:tr>
        <w:tc>
          <w:tcPr>
            <w:tcW w:type="dxa" w:w="230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Test Average Precision (AP)</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0.8914</w:t>
            </w:r>
          </w:p>
        </w:tc>
        <w:tc>
          <w:tcPr>
            <w:tcW w:type="dxa" w:w="2016"/>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0.8550</w:t>
            </w:r>
          </w:p>
        </w:tc>
        <w:tc>
          <w:tcPr>
            <w:tcW w:type="dxa" w:w="1296"/>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12,901</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Strong ranking across risk scores</w:t>
            </w:r>
          </w:p>
        </w:tc>
      </w:tr>
      <w:tr>
        <w:tc>
          <w:tcPr>
            <w:tcW w:type="dxa" w:w="230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Safe (0) — Precision / Recall / F1</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0.8204 / 0.7552 / 0.7865</w:t>
            </w:r>
          </w:p>
        </w:tc>
        <w:tc>
          <w:tcPr>
            <w:tcW w:type="dxa" w:w="2016"/>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0.7213 / 0.9155 / 0.8069</w:t>
            </w:r>
          </w:p>
        </w:tc>
        <w:tc>
          <w:tcPr>
            <w:tcW w:type="dxa" w:w="1296"/>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6,721</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+16.03% boost in Safe Recall</w:t>
            </w:r>
          </w:p>
        </w:tc>
      </w:tr>
      <w:tr>
        <w:tc>
          <w:tcPr>
            <w:tcW w:type="dxa" w:w="230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Hallucination (1) — Precision / Recall / F1</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0.7550 / 0.8202 / 0.7863</w:t>
            </w:r>
          </w:p>
        </w:tc>
        <w:tc>
          <w:tcPr>
            <w:tcW w:type="dxa" w:w="2016"/>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0.8701 / 0.6154 / 0.7209</w:t>
            </w:r>
          </w:p>
        </w:tc>
        <w:tc>
          <w:tcPr>
            <w:tcW w:type="dxa" w:w="1296"/>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6,180</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+11.51% boost in Hallucination Precision</w:t>
            </w:r>
          </w:p>
        </w:tc>
      </w:tr>
      <w:tr>
        <w:tc>
          <w:tcPr>
            <w:tcW w:type="dxa" w:w="230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Overall Accuracy</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78.64%</w:t>
            </w:r>
          </w:p>
        </w:tc>
        <w:tc>
          <w:tcPr>
            <w:tcW w:type="dxa" w:w="2016"/>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77.17%</w:t>
            </w:r>
          </w:p>
        </w:tc>
        <w:tc>
          <w:tcPr>
            <w:tcW w:type="dxa" w:w="1296"/>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12,901</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Consistent overall accuracy</w:t>
            </w:r>
          </w:p>
        </w:tc>
      </w:tr>
      <w:tr>
        <w:tc>
          <w:tcPr>
            <w:tcW w:type="dxa" w:w="230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Macro Avg (Precision / Recall / F1)</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0.7877 / 0.7877 / 0.7864</w:t>
            </w:r>
          </w:p>
        </w:tc>
        <w:tc>
          <w:tcPr>
            <w:tcW w:type="dxa" w:w="2016"/>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0.7957 / 0.7654 / 0.7639</w:t>
            </w:r>
          </w:p>
        </w:tc>
        <w:tc>
          <w:tcPr>
            <w:tcW w:type="dxa" w:w="1296"/>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12,901</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Higher macro precision in cascade</w:t>
            </w:r>
          </w:p>
        </w:tc>
      </w:tr>
      <w:tr>
        <w:tc>
          <w:tcPr>
            <w:tcW w:type="dxa" w:w="230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Confusion Matrix (TN / FP)</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TN: 5,076 | FP: 1,645</w:t>
            </w:r>
          </w:p>
        </w:tc>
        <w:tc>
          <w:tcPr>
            <w:tcW w:type="dxa" w:w="2016"/>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TN: 6,153 | FP: 568</w:t>
            </w:r>
          </w:p>
        </w:tc>
        <w:tc>
          <w:tcPr>
            <w:tcW w:type="dxa" w:w="1296"/>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6,721 Safe</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65.5% reduction in False Positives</w:t>
            </w:r>
          </w:p>
        </w:tc>
      </w:tr>
      <w:tr>
        <w:tc>
          <w:tcPr>
            <w:tcW w:type="dxa" w:w="2304"/>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Confusion Matrix (FN / TP)</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FN: 1,111 | TP: 5,069</w:t>
            </w:r>
          </w:p>
        </w:tc>
        <w:tc>
          <w:tcPr>
            <w:tcW w:type="dxa" w:w="2016"/>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FN: 2,377 | TP: 3,803</w:t>
            </w:r>
          </w:p>
        </w:tc>
        <w:tc>
          <w:tcPr>
            <w:tcW w:type="dxa" w:w="1296"/>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6,180 Halluc.</w:t>
            </w:r>
          </w:p>
        </w:tc>
        <w:tc>
          <w:tcPr>
            <w:tcW w:type="dxa" w:w="187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High-confidence hallucination flagging</w:t>
            </w:r>
          </w:p>
        </w:tc>
      </w:tr>
    </w:tbl>
    <w:p>
      <w:pPr>
        <w:spacing w:before="40" w:after="120" w:line="276" w:lineRule="auto"/>
        <w:jc w:val="both"/>
      </w:pPr>
      <w:r>
        <w:t>Discussion of Cascade Dynamics: A critical insight emerges when comparing the standalone Tier-1 ANN with the Two-Tier Cascaded Pipeline. Because the cascade threshold on gated samples was tuned to a conservative value (T2 = 0.860) to guarantee high precision on ambiguous borderline cases, the cascaded ensemble reduced False Positives by 65.5% (from 1,645 down to just 568 out of 6,721 safe responses). Consequently, Hallucination Precision surged from 75.50% to 87.01%—well above the 75% minimum precision requirement—and Safe response Recall reached 91.55%. In production LLM guardrails, minimizing false alarms (avoiding the erroneous blocking of valid, helpful model responses) is paramount; the two-tier cascade achieves this high-precision regime while still catching 3,803 true hallucinations.</w:t>
      </w:r>
    </w:p>
    <w:p>
      <w:pPr>
        <w:spacing w:before="160" w:after="40"/>
        <w:jc w:val="center"/>
      </w:pPr>
      <w:r>
        <w:drawing>
          <wp:inline xmlns:a="http://schemas.openxmlformats.org/drawingml/2006/main" xmlns:pic="http://schemas.openxmlformats.org/drawingml/2006/picture">
            <wp:extent cx="5760720" cy="2304288"/>
            <wp:docPr id="1" name="Picture 1"/>
            <wp:cNvGraphicFramePr>
              <a:graphicFrameLocks noChangeAspect="1"/>
            </wp:cNvGraphicFramePr>
            <a:graphic>
              <a:graphicData uri="http://schemas.openxmlformats.org/drawingml/2006/picture">
                <pic:pic>
                  <pic:nvPicPr>
                    <pic:cNvPr id="0" name="confusion_matrices_comparison.png"/>
                    <pic:cNvPicPr/>
                  </pic:nvPicPr>
                  <pic:blipFill>
                    <a:blip r:embed="rId9"/>
                    <a:stretch>
                      <a:fillRect/>
                    </a:stretch>
                  </pic:blipFill>
                  <pic:spPr>
                    <a:xfrm>
                      <a:off x="0" y="0"/>
                      <a:ext cx="5760720" cy="2304288"/>
                    </a:xfrm>
                    <a:prstGeom prst="rect"/>
                  </pic:spPr>
                </pic:pic>
              </a:graphicData>
            </a:graphic>
          </wp:inline>
        </w:drawing>
      </w:r>
    </w:p>
    <w:p>
      <w:pPr>
        <w:spacing w:after="200"/>
        <w:jc w:val="center"/>
      </w:pPr>
      <w:r>
        <w:rPr>
          <w:i/>
          <w:color w:val="475569"/>
          <w:sz w:val="19"/>
        </w:rPr>
        <w:t>Figure 1: Held-Out Test Set Confusion Matrices — Standalone PyTorch ANN vs. Two-Tier Cascaded Guardrail Pipeline (N = 12,901)</w:t>
      </w:r>
    </w:p>
    <w:p>
      <w:pPr>
        <w:keepNext/>
        <w:spacing w:before="240" w:after="80"/>
      </w:pPr>
      <w:r>
        <w:rPr>
          <w:rFonts w:ascii="Calibri" w:hAnsi="Calibri"/>
          <w:b/>
          <w:color w:val="1D4ED8"/>
          <w:sz w:val="26"/>
        </w:rPr>
        <w:t>4.3 Hardware Latency Benchmark (CPU vs. CUDA GPU)</w:t>
      </w:r>
    </w:p>
    <w:p>
      <w:pPr>
        <w:spacing w:before="40" w:after="120" w:line="276" w:lineRule="auto"/>
        <w:jc w:val="both"/>
      </w:pPr>
      <w:r>
        <w:t>To verify real-time operational viability, we executed a wall-clock latency benchmark with explicit CUDA synchronization across 300 randomly sampled triplets (1 first-inference run, 9 warm-up runs, and 290 timed evaluation runs) on both CPU and an NVIDIA Tesla T4 GPU. Across the 290 timed requests, the Tier-2 fallback trigger rate was 24.1% (70 / 290 requests). Table 5 details the Mean, 95th Percentile (P95), and 99th Percentile (P99) latencies.</w:t>
      </w:r>
    </w:p>
    <w:p>
      <w:pPr>
        <w:keepNext/>
        <w:spacing w:before="120"/>
      </w:pPr>
      <w:r>
        <w:rPr>
          <w:b/>
          <w:sz w:val="21"/>
        </w:rPr>
        <w:t>Table 5: Rigorous Wall-Clock Latency Benchmark Across Hardware Targets (290 Timed Requests)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44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Pipeline Stage / Component</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CPU Mean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CPU P95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CPU P99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CUDA Mean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CUDA P95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1E3A8A"/>
          </w:tcPr>
          <w:p>
            <w:r>
              <w:rPr>
                <w:b/>
                <w:color w:val="FFFFFF"/>
                <w:sz w:val="21"/>
              </w:rPr>
              <w:t>CUDA P99 (ms)</w:t>
            </w:r>
          </w:p>
        </w:tc>
      </w:tr>
      <w:tr>
        <w:tc>
          <w:tcPr>
            <w:tcW w:type="dxa" w:w="244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First-Inference Cold Start</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396.07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84.16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w:t>
            </w:r>
          </w:p>
        </w:tc>
      </w:tr>
      <w:tr>
        <w:tc>
          <w:tcPr>
            <w:tcW w:type="dxa" w:w="244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Tier-1 Classifier Only</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41.54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67.57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99.43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43.38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96.20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112.18 ms</w:t>
            </w:r>
          </w:p>
        </w:tc>
      </w:tr>
      <w:tr>
        <w:tc>
          <w:tcPr>
            <w:tcW w:type="dxa" w:w="244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Tier-2 NLI (Triggered: 24.1%)</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616.52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1,815.54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2,648.76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34.09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78.79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shd w:fill="F8FAFC"/>
          </w:tcPr>
          <w:p>
            <w:r>
              <w:rPr>
                <w:sz w:val="20"/>
              </w:rPr>
              <w:t>102.83 ms</w:t>
            </w:r>
          </w:p>
        </w:tc>
      </w:tr>
      <w:tr>
        <w:tc>
          <w:tcPr>
            <w:tcW w:type="dxa" w:w="2448"/>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Cascaded End-to-End Total</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328.33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1,326.93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2,687.28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73.79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173.95 ms</w:t>
            </w:r>
          </w:p>
        </w:tc>
        <w:tc>
          <w:tcPr>
            <w:tcW w:type="dxa" w:w="1152"/>
            <w:vAlign w:val="center"/>
            <w:tcMar>
              <w:top w:w="100" w:type="dxa"/>
              <w:bottom w:w="100" w:type="dxa"/>
              <w:left w:w="140" w:type="dxa"/>
              <w:right w:w="140" w:type="dxa"/>
            </w:tcMar>
            <w:tcBorders>
              <w:top w:val="single" w:sz="4" w:space="0" w:color="D1D5DB"/>
              <w:bottom w:val="single" w:sz="4" w:space="0" w:color="D1D5DB"/>
              <w:left w:val="single" w:sz="4" w:space="0" w:color="D1D5DB"/>
              <w:right w:val="single" w:sz="4" w:space="0" w:color="D1D5DB"/>
            </w:tcBorders>
          </w:tcPr>
          <w:p>
            <w:r>
              <w:rPr>
                <w:sz w:val="20"/>
              </w:rPr>
              <w:t>230.23 ms</w:t>
            </w:r>
          </w:p>
        </w:tc>
      </w:tr>
    </w:tbl>
    <w:p>
      <w:pPr>
        <w:spacing w:before="160" w:after="40"/>
        <w:jc w:val="center"/>
      </w:pPr>
      <w:r>
        <w:drawing>
          <wp:inline xmlns:a="http://schemas.openxmlformats.org/drawingml/2006/main" xmlns:pic="http://schemas.openxmlformats.org/drawingml/2006/picture">
            <wp:extent cx="5852160" cy="2234461"/>
            <wp:docPr id="2" name="Picture 2"/>
            <wp:cNvGraphicFramePr>
              <a:graphicFrameLocks noChangeAspect="1"/>
            </wp:cNvGraphicFramePr>
            <a:graphic>
              <a:graphicData uri="http://schemas.openxmlformats.org/drawingml/2006/picture">
                <pic:pic>
                  <pic:nvPicPr>
                    <pic:cNvPr id="0" name="tier1_and_latency_chart.png"/>
                    <pic:cNvPicPr/>
                  </pic:nvPicPr>
                  <pic:blipFill>
                    <a:blip r:embed="rId10"/>
                    <a:stretch>
                      <a:fillRect/>
                    </a:stretch>
                  </pic:blipFill>
                  <pic:spPr>
                    <a:xfrm>
                      <a:off x="0" y="0"/>
                      <a:ext cx="5852160" cy="2234461"/>
                    </a:xfrm>
                    <a:prstGeom prst="rect"/>
                  </pic:spPr>
                </pic:pic>
              </a:graphicData>
            </a:graphic>
          </wp:inline>
        </w:drawing>
      </w:r>
    </w:p>
    <w:p>
      <w:pPr>
        <w:spacing w:after="200"/>
        <w:jc w:val="center"/>
      </w:pPr>
      <w:r>
        <w:rPr>
          <w:i/>
          <w:color w:val="475569"/>
          <w:sz w:val="19"/>
        </w:rPr>
        <w:t>Figure 2: Left — Tier-1 Model Average Precision Comparison; Right — CPU vs. Tesla T4 GPU Latency Profile</w:t>
      </w:r>
    </w:p>
    <w:p>
      <w:pPr>
        <w:spacing w:before="40" w:after="120" w:line="276" w:lineRule="auto"/>
        <w:jc w:val="both"/>
      </w:pPr>
      <w:r>
        <w:t>Discussion of Latency Profile: On CPU, running the DeBERTa-v3 cross-encoder NLI model requires a mean of 616.52 ms (P99 = 2,648.76 ms); however, because our Tier-1 gate filters out 75.9% of requests in ~41.54 ms, the overall CPU mean latency drops to 328.33 ms. On an NVIDIA Tesla T4 GPU (CUDA), Tier-2 NLI inference accelerates by 18.1x (from 616.52 ms down to 34.09 ms), yielding a mean end-to-end cascaded latency of just 73.79 ms (P95 = 173.95 ms, P99 = 230.23 ms), well within interactive conversational SLA budgets.</w:t>
      </w:r>
    </w:p>
    <w:p>
      <w:pPr>
        <w:keepNext/>
        <w:spacing w:before="240" w:after="80"/>
      </w:pPr>
      <w:r>
        <w:rPr>
          <w:rFonts w:ascii="Calibri" w:hAnsi="Calibri"/>
          <w:b/>
          <w:color w:val="1D4ED8"/>
          <w:sz w:val="26"/>
        </w:rPr>
        <w:t>4.4 Qualitative Case Studies &amp; Streaming Prefix Interruption</w:t>
      </w:r>
    </w:p>
    <w:p>
      <w:pPr>
        <w:spacing w:before="40" w:after="120" w:line="276" w:lineRule="auto"/>
        <w:jc w:val="both"/>
      </w:pPr>
      <w:r>
        <w:t>To illustrate the decision mechanics of the CascadedGuardrailPipeline, we evaluated custom factual, blatantly hallucinated, and mid-stream fabricated prompts:</w:t>
      </w:r>
    </w:p>
    <w:p>
      <w:pPr>
        <w:pStyle w:val="ListBullet"/>
        <w:spacing w:before="40" w:after="80" w:line="276" w:lineRule="auto"/>
        <w:jc w:val="both"/>
      </w:pPr>
      <w:r>
        <w:rPr>
          <w:b/>
        </w:rPr>
        <w:t xml:space="preserve">Case A — Strictly Grounded Factual Response: </w:t>
      </w:r>
      <w:r>
        <w:t>Context: 'The James Webb Space Telescope was launched on December 25, 2021.' | Prompt: 'When did the JWST launch?' | Response: 'It launched on December 25, 2021.' -&gt; Risk Score = 0.227 (T1 = 0.433, T2 = 0.860). Path: Tier-1 (Confident Fast-Path). Decision: SAFE (Factual/Supported).</w:t>
      </w:r>
    </w:p>
    <w:p>
      <w:pPr>
        <w:pStyle w:val="ListBullet"/>
        <w:spacing w:before="40" w:after="80" w:line="276" w:lineRule="auto"/>
        <w:jc w:val="both"/>
      </w:pPr>
      <w:r>
        <w:rPr>
          <w:b/>
        </w:rPr>
        <w:t xml:space="preserve">Case B — Blatant Factual &amp; Numerical Fabrication: </w:t>
      </w:r>
      <w:r>
        <w:t>Context: 'The James Webb Space Telescope was launched on December 25, 2021.' | Prompt: 'When did the JWST launch?' | Response: 'The JWST was launched in 1999 by the Soviet Union.' -&gt; Risk Score = 0.894. Path: Tier-1 (Confident Fast-Path). Decision: HALLUCINATION DETECTED (caught immediately via unsupported_number_ratio = 1.0 and low cosine similarity).</w:t>
      </w:r>
    </w:p>
    <w:p>
      <w:pPr>
        <w:pStyle w:val="ListBullet"/>
        <w:spacing w:before="40" w:after="80" w:line="276" w:lineRule="auto"/>
        <w:jc w:val="both"/>
      </w:pPr>
      <w:r>
        <w:rPr>
          <w:b/>
        </w:rPr>
        <w:t xml:space="preserve">Case C — Real-Time Streaming Mid-Generation Interruption: </w:t>
      </w:r>
      <w:r>
        <w:t>Using predict_streaming(), the pipeline evaluates growing sentence prefixes of a 3-sentence response grounded on the JWST launch context: Sentence [1] ('The James Webb Space Telescope launched on December 25, 2021.') scores risk = 0.174 [OK]; Sentence [1+2] ('...It was built by NASA with contributions from ESA and CSA.') enters the uncertainty gate and scores risk = 0.741 [OK, below T2 = 0.860]; Sentence [1+2+3] ('...The telescope is operated from the Moon by a crew of twelve astronauts.') scores risk = 0.794 via Tier-1 fast-path (&gt; T1 = 0.433) and immediately triggers HALLUCINATION interruption.</w:t>
      </w:r>
    </w:p>
    <w:p>
      <w:pPr>
        <w:keepNext/>
        <w:spacing w:before="360" w:after="120"/>
        <w:pBdr>
          <w:bottom w:val="single" w:sz="8" w:space="4" w:color="1E3A8A"/>
        </w:pBdr>
      </w:pPr>
      <w:r>
        <w:rPr>
          <w:rFonts w:ascii="Calibri" w:hAnsi="Calibri"/>
          <w:b/>
          <w:color w:val="1E3A8A"/>
          <w:sz w:val="32"/>
        </w:rPr>
        <w:t>5. Conclusion</w:t>
      </w:r>
    </w:p>
    <w:p>
      <w:pPr>
        <w:spacing w:before="40" w:after="120" w:line="276" w:lineRule="auto"/>
        <w:jc w:val="both"/>
      </w:pPr>
      <w:r>
        <w:t>This project designed, implemented, and empirically validated an end-to-end predictive analytics framework and Two-Tier Cascaded Guardrail Pipeline for detecting hallucinations in Large Language Model outputs. By consolidating 64,507 records across four diverse NLG domains from the HaluEval benchmark and enforcing a strict group-disjoint StratifiedGroupKFold split, we eliminated context twin leakage and established a rigorous evaluation benchmark. Our 8-dimensional feature engineering interface—combining Sentence-BERT dense cosine similarities with lexical Jaccard overlap, length ratios, and unsupported numerical token ratios—enabled our custom PyTorch Multi-Layer Perceptron (TorchMLPClassifier) to achieve a standalone Test Average Precision of 0.8914 at 0.0107 ms/sample. Furthermore, integrating the Tier-1 soft-voting ensemble with a confidence-gated ([0.35, 0.65]) Tier-2 DeBERTa-v3 cross-encoder NLI verifier achieved an unbiased Test AP of 0.8550, elevated Hallucination Precision to 87.01% (reducing false positives by 65.5%), achieved 91.55% Safe Recall, and bypassed expensive cross-encoder inference on 75.0% of test traffic, delivering a 73.79 ms mean end-to-end latency on GPU.</w:t>
      </w:r>
    </w:p>
    <w:p>
      <w:pPr>
        <w:keepNext/>
        <w:spacing w:before="360" w:after="120"/>
        <w:pBdr>
          <w:bottom w:val="single" w:sz="8" w:space="4" w:color="1E3A8A"/>
        </w:pBdr>
      </w:pPr>
      <w:r>
        <w:rPr>
          <w:rFonts w:ascii="Calibri" w:hAnsi="Calibri"/>
          <w:b/>
          <w:color w:val="1E3A8A"/>
          <w:sz w:val="32"/>
        </w:rPr>
        <w:t>6. References</w:t>
      </w:r>
    </w:p>
    <w:p>
      <w:pPr>
        <w:spacing w:before="40" w:after="80"/>
        <w:ind w:left="432" w:hanging="432"/>
      </w:pPr>
      <w:r>
        <w:t>[1] Ji, Z., Lee, N., Frieske, R., Yu, T., Su, D., Xu, Y., Ishii, E., Bang, Y. J., Madotto, A., &amp; Fung, P. (2023). Survey of Hallucination in Natural Language Generation. ACM Computing Surveys, 55(12), Article 248, 1–38. https://doi.org/10.1145/3571730</w:t>
      </w:r>
    </w:p>
    <w:p>
      <w:pPr>
        <w:spacing w:before="40" w:after="80"/>
        <w:ind w:left="432" w:hanging="432"/>
      </w:pPr>
      <w:r>
        <w:t>[2] Huang, L., Yu, W., Ma, W., Zhong, W., Feng, Z., Wang, H., Chen, Q., Peng, W., Feng, X., Qin, B., &amp; Liu, T. (2025). A Survey on Hallucination in Large Language Models: Principles, Taxonomy, Challenges, and Open Questions. ACM Transactions on Information Systems (TOIS), 43(2), 1–55. https://doi.org/10.1145/3703155</w:t>
      </w:r>
    </w:p>
    <w:p>
      <w:pPr>
        <w:spacing w:before="40" w:after="80"/>
        <w:ind w:left="432" w:hanging="432"/>
      </w:pPr>
      <w:r>
        <w:t>[3] Farquhar, S., Kossen, J., Kuhn, L., &amp; Gal, Y. (2024). Detecting hallucinations in large language models using semantic entropy. Nature, 630(8017), 625–630. https://doi.org/10.1038/s41586-024-07421-0</w:t>
      </w:r>
    </w:p>
    <w:p>
      <w:pPr>
        <w:spacing w:before="40" w:after="80"/>
        <w:ind w:left="432" w:hanging="432"/>
      </w:pPr>
      <w:r>
        <w:t>[4] Deutsch, D., Bedrax-Weiss, T., &amp; Roth, D. (2021). Towards Question-Answering as an Automatic Metric for Evaluating the Content Quality of a Summary. Transactions of the Association for Computational Linguistics (TACL), 9, 774–789. https://doi.org/10.1162/tacl_a_00397</w:t>
      </w:r>
    </w:p>
    <w:p>
      <w:pPr>
        <w:spacing w:before="40" w:after="80"/>
        <w:ind w:left="432" w:hanging="432"/>
      </w:pPr>
      <w:r>
        <w:t>[5] HaluGNN Research Group (2025). HaluGNN: Hallucination Detection in Large Language Models Using Graph Neural Network. Expert Systems with Applications, 306, Article 130857. https://doi.org/10.1016/j.eswa.2025.130857</w:t>
      </w:r>
    </w:p>
    <w:p>
      <w:pPr>
        <w:spacing w:before="40" w:after="80"/>
        <w:ind w:left="432" w:hanging="432"/>
      </w:pPr>
      <w:r>
        <w:t>[6] Kong, L., Zhang, Y., &amp; Chen, X. (2025). Hallucination Detection in Large Language Models by Classifying Information Sources. Expert Systems with Applications, 298, Article 129639. https://doi.org/10.1016/j.eswa.2025.129639</w:t>
      </w:r>
    </w:p>
    <w:p>
      <w:pPr>
        <w:keepNext/>
        <w:spacing w:before="360" w:after="120"/>
        <w:pBdr>
          <w:bottom w:val="single" w:sz="8" w:space="4" w:color="1E3A8A"/>
        </w:pBdr>
      </w:pPr>
      <w:r>
        <w:rPr>
          <w:rFonts w:ascii="Calibri" w:hAnsi="Calibri"/>
          <w:b/>
          <w:color w:val="1E3A8A"/>
          <w:sz w:val="32"/>
        </w:rPr>
        <w:t>7. Appendix (GitHub Links &amp; Deployment Artifacts)</w:t>
      </w:r>
    </w:p>
    <w:p>
      <w:pPr>
        <w:pStyle w:val="ListBullet"/>
        <w:spacing w:before="40" w:after="80" w:line="276" w:lineRule="auto"/>
        <w:jc w:val="both"/>
      </w:pPr>
      <w:r>
        <w:rPr>
          <w:b/>
        </w:rPr>
        <w:t xml:space="preserve">GitHub Dataset &amp; Project Repository Link: </w:t>
      </w:r>
      <w:r>
        <w:t>https://github.com/Enitity505/HaluEval.git (Forked/Cloned HaluEval Dataset &amp; Project Repository) | Original Benchmark Source: https://github.com/RUCAIBox/HaluEval</w:t>
      </w:r>
    </w:p>
    <w:p>
      <w:pPr>
        <w:pStyle w:val="ListBullet"/>
        <w:spacing w:before="40" w:after="80" w:line="276" w:lineRule="auto"/>
        <w:jc w:val="both"/>
      </w:pPr>
      <w:r>
        <w:rPr>
          <w:b/>
        </w:rPr>
        <w:t xml:space="preserve">Tier-1 Pretrained Embedding Model Link: </w:t>
      </w:r>
      <w:r>
        <w:t>https://huggingface.co/sentence-transformers/all-MiniLM-L6-v2 (384-d Bi-Encoder Semantic Embedder)</w:t>
      </w:r>
    </w:p>
    <w:p>
      <w:pPr>
        <w:pStyle w:val="ListBullet"/>
        <w:spacing w:before="40" w:after="80" w:line="276" w:lineRule="auto"/>
        <w:jc w:val="both"/>
      </w:pPr>
      <w:r>
        <w:rPr>
          <w:b/>
        </w:rPr>
        <w:t xml:space="preserve">Tier-2 Pretrained NLI Model Link: </w:t>
      </w:r>
      <w:r>
        <w:t>https://huggingface.co/cross-encoder/nli-deberta-v3-small (Tier-2 Cross-Encoder NLI Entailment Verifier)</w:t>
      </w:r>
    </w:p>
    <w:p>
      <w:pPr>
        <w:pStyle w:val="ListBullet"/>
        <w:spacing w:before="40" w:after="80" w:line="276" w:lineRule="auto"/>
        <w:jc w:val="both"/>
      </w:pPr>
      <w:r>
        <w:rPr>
          <w:b/>
        </w:rPr>
        <w:t xml:space="preserve">Serialized Production Deployment Package: </w:t>
      </w:r>
      <w:r>
        <w:t>The trained pipeline is serialized into ./guardrail_deployment_package.zip (schema v1.1, feature schema v2.0), containing: (1) guardrail_metadata.json (operating thresholds T1 = 0.433, T2 = 0.860, gate [0.35, 0.65], weights 0.4/0.6, and software versions Python 3.13.x, PyTorch 2.11.0+cu130, scikit-learn 1.6.1); (2) guardrail_scaler.joblib (fitted StandardScaler); (3) tier1_voting_ensemble.joblib (serialized 5-model VotingClassifier); (4) annmpl0001.py (standalone TorchMLPClassifier module); (5) pipeclass001.py (CascadedGuardrailPipeline class); and (6) guardrail.py (CLI production inference entrypoint).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