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2CFC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ЗОЛОТЫЕ СЕРТИФИКАТЫ</w:t>
      </w:r>
    </w:p>
    <w:p w14:paraId="689938E9">
      <w:pPr>
        <w:jc w:val="center"/>
        <w:rPr>
          <w:rFonts w:ascii="Times New Roman" w:hAnsi="Times New Roman" w:cs="Times New Roman"/>
        </w:rPr>
      </w:pPr>
    </w:p>
    <w:p w14:paraId="79E63314">
      <w:pPr>
        <w:ind w:firstLine="708"/>
        <w:jc w:val="both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u w:val="single"/>
        </w:rPr>
        <w:t>Цена на золотой сертификат</w:t>
      </w:r>
      <w:r>
        <w:rPr>
          <w:rFonts w:ascii="Times New Roman" w:hAnsi="Times New Roman" w:cs="Times New Roman"/>
        </w:rPr>
        <w:t xml:space="preserve"> в виде цены первичного размещения устанавливалась </w:t>
      </w:r>
      <w:r>
        <w:rPr>
          <w:rFonts w:ascii="Times New Roman" w:hAnsi="Times New Roman" w:cs="Times New Roman"/>
          <w:b/>
          <w:spacing w:val="30"/>
        </w:rPr>
        <w:t>Министерством финансов РФ,</w:t>
      </w:r>
      <w:r>
        <w:rPr>
          <w:rFonts w:ascii="Times New Roman" w:hAnsi="Times New Roman" w:cs="Times New Roman"/>
        </w:rPr>
        <w:t xml:space="preserve"> исходя из золотого эквивалента сертификатана основе второго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фиксинга</w:t>
      </w:r>
      <w:r>
        <w:rPr>
          <w:rFonts w:hint="default" w:ascii="Times New Roman" w:hAnsi="Times New Roman" w:cs="Times New Roman"/>
          <w:sz w:val="32"/>
          <w:szCs w:val="32"/>
          <w:u w:val="single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</w:rPr>
        <w:t>золота пробы 0,9999 на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Лондонском рынке</w:t>
      </w:r>
      <w:r>
        <w:rPr>
          <w:rFonts w:ascii="Times New Roman" w:hAnsi="Times New Roman" w:cs="Times New Roman"/>
        </w:rPr>
        <w:t xml:space="preserve">. Пересчёт этой цены в рубли осуществляется по официальному курсу, устанавливаемому </w:t>
      </w:r>
      <w:r>
        <w:rPr>
          <w:rFonts w:ascii="Times New Roman" w:hAnsi="Times New Roman" w:cs="Times New Roman"/>
          <w:b/>
        </w:rPr>
        <w:t>Центральным банком</w:t>
      </w:r>
      <w:r>
        <w:rPr>
          <w:rFonts w:ascii="Times New Roman" w:hAnsi="Times New Roman" w:cs="Times New Roman"/>
        </w:rPr>
        <w:t xml:space="preserve"> России. К цене добавлялась премия в виде накопленного процента за период, прошедший с начала квартала, с тем чтобы </w:t>
      </w:r>
      <w:r>
        <w:rPr>
          <w:rFonts w:ascii="Times New Roman" w:hAnsi="Times New Roman" w:cs="Times New Roman"/>
          <w:spacing w:val="30"/>
        </w:rPr>
        <w:t>дифференцировать квартальный доход</w:t>
      </w:r>
      <w:r>
        <w:rPr>
          <w:rFonts w:ascii="Times New Roman" w:hAnsi="Times New Roman" w:cs="Times New Roman"/>
        </w:rPr>
        <w:t xml:space="preserve"> в зависи</w:t>
      </w:r>
      <w:r>
        <w:rPr>
          <w:rFonts w:ascii="Times New Roman" w:hAnsi="Times New Roman" w:cs="Times New Roman"/>
          <w:vertAlign w:val="subscript"/>
        </w:rPr>
        <w:t>мости</w:t>
      </w:r>
      <w:r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  <w:vertAlign w:val="subscript"/>
        </w:rPr>
        <w:t>сро</w:t>
      </w:r>
      <w:r>
        <w:rPr>
          <w:rFonts w:ascii="Times New Roman" w:hAnsi="Times New Roman" w:cs="Times New Roman"/>
        </w:rPr>
        <w:t xml:space="preserve">ка приобретения </w:t>
      </w:r>
      <w:r>
        <w:rPr>
          <w:rFonts w:ascii="Times New Roman" w:hAnsi="Times New Roman" w:cs="Times New Roman"/>
          <w:vertAlign w:val="superscript"/>
        </w:rPr>
        <w:t>сер</w:t>
      </w:r>
      <w:r>
        <w:rPr>
          <w:rFonts w:ascii="Times New Roman" w:hAnsi="Times New Roman" w:cs="Times New Roman"/>
        </w:rPr>
        <w:t>тифи</w:t>
      </w:r>
      <w:r>
        <w:rPr>
          <w:rFonts w:ascii="Times New Roman" w:hAnsi="Times New Roman" w:cs="Times New Roman"/>
          <w:vertAlign w:val="subscript"/>
        </w:rPr>
        <w:t>ката</w:t>
      </w:r>
      <w:r>
        <w:rPr>
          <w:rFonts w:hint="default" w:ascii="Times New Roman" w:hAnsi="Times New Roman" w:cs="Times New Roman"/>
          <w:vertAlign w:val="subscript"/>
          <w:lang w:val="ru-RU"/>
        </w:rPr>
        <w:t>.</w:t>
      </w:r>
    </w:p>
    <w:p w14:paraId="4C82AE5E">
      <w:pPr>
        <w:ind w:firstLine="708"/>
        <w:jc w:val="both"/>
        <w:rPr>
          <w:rFonts w:ascii="Times New Roman" w:hAnsi="Times New Roman" w:cs="Times New Roman"/>
        </w:rPr>
      </w:pPr>
    </w:p>
    <w:p w14:paraId="316D7FFC">
      <w:pPr>
        <w:ind w:firstLine="708"/>
        <w:jc w:val="both"/>
        <w:rPr>
          <w:rFonts w:ascii="Times New Roman" w:hAnsi="Times New Roman" w:cs="Times New Roman"/>
        </w:rPr>
      </w:pPr>
    </w:p>
    <w:p w14:paraId="42841B89">
      <w:pPr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ВЫБОР МИССИИ ПРЕДПРИЯТИЯ</w:t>
      </w:r>
    </w:p>
    <w:p w14:paraId="28B7A667">
      <w:pPr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(ПРЕДСТАВЛЕНИЕ О СОБСТВЕННОЙ РОЛИ)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trip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7BEC5BEE">
        <w:tblPrEx>
          <w:tblBorders>
            <w:top w:val="none" w:color="auto" w:sz="0" w:space="0"/>
            <w:left w:val="none" w:color="auto" w:sz="0" w:space="0"/>
            <w:bottom w:val="trip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tcBorders>
              <w:top w:val="nil"/>
              <w:bottom w:val="double" w:color="auto" w:sz="6" w:space="0"/>
            </w:tcBorders>
          </w:tcPr>
          <w:p w14:paraId="2969E5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4B72729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Исходным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пунктом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стратегического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управления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предприятием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является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понимание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своей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роли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перед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обществом, потребителями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и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сотрудниками.</w:t>
      </w:r>
    </w:p>
    <w:tbl>
      <w:tblPr>
        <w:tblStyle w:val="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19245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nil"/>
              <w:left w:val="single" w:color="auto" w:sz="8" w:space="0"/>
              <w:bottom w:val="nil"/>
              <w:right w:val="double" w:color="auto" w:sz="6" w:space="0"/>
            </w:tcBorders>
          </w:tcPr>
          <w:p w14:paraId="2A3D149F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Миссия</w:t>
            </w:r>
            <w:r>
              <w:rPr>
                <w:rFonts w:ascii="Times New Roman" w:hAnsi="Times New Roman" w:cs="Times New Roman"/>
              </w:rPr>
              <w:t>– общая цель предприятия, выражающая его отношение к своим клиентам.</w:t>
            </w:r>
          </w:p>
        </w:tc>
      </w:tr>
    </w:tbl>
    <w:p w14:paraId="6D3B31E0">
      <w:pPr>
        <w:ind w:firstLine="220" w:firstLineChars="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Опыт показывает, что одним из существующих подходов к формулированию миссии является следующий.</w:t>
      </w:r>
    </w:p>
    <w:p w14:paraId="1545C4AA">
      <w:pPr>
        <w:ind w:firstLine="708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u w:val="wave"/>
        </w:rPr>
        <w:t>Миссия</w:t>
      </w:r>
      <w:r>
        <w:rPr>
          <w:rFonts w:ascii="Times New Roman" w:hAnsi="Times New Roman" w:cs="Times New Roman"/>
          <w:b/>
          <w:i/>
        </w:rPr>
        <w:t xml:space="preserve">- это декларированные ведущие принципы и стандарты компании. </w:t>
      </w:r>
    </w:p>
    <w:p w14:paraId="36329936">
      <w:pPr>
        <w:ind w:firstLine="708"/>
        <w:jc w:val="both"/>
        <w:rPr>
          <w:rFonts w:ascii="Times New Roman" w:hAnsi="Times New Roman" w:cs="Times New Roman"/>
          <w:b/>
          <w:u w:val="double"/>
        </w:rPr>
      </w:pPr>
      <w:r>
        <w:rPr>
          <w:rFonts w:ascii="Times New Roman" w:hAnsi="Times New Roman" w:cs="Times New Roman"/>
          <w:b/>
          <w:u w:val="double"/>
        </w:rPr>
        <w:t>ПРИМЕРЫ.</w:t>
      </w:r>
    </w:p>
    <w:p w14:paraId="64A218A9">
      <w:pPr>
        <w:ind w:firstLine="708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Миссия «</w:t>
      </w:r>
      <w:r>
        <w:rPr>
          <w:rFonts w:ascii="Times New Roman" w:hAnsi="Times New Roman" w:cs="Times New Roman"/>
          <w:b/>
          <w:i/>
          <w:lang w:val="en-US"/>
        </w:rPr>
        <w:t>Kodak</w:t>
      </w:r>
      <w:r>
        <w:rPr>
          <w:rFonts w:ascii="Times New Roman" w:hAnsi="Times New Roman" w:cs="Times New Roman"/>
          <w:b/>
          <w:i/>
        </w:rPr>
        <w:t>» - доверьте свои воспоминания «Кодаку».</w:t>
      </w:r>
    </w:p>
    <w:p w14:paraId="61A15B55">
      <w:pPr>
        <w:ind w:firstLine="708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Миссия «Соса-</w:t>
      </w:r>
      <w:r>
        <w:rPr>
          <w:rFonts w:ascii="Times New Roman" w:hAnsi="Times New Roman" w:cs="Times New Roman"/>
          <w:b/>
          <w:i/>
          <w:lang w:val="en-US"/>
        </w:rPr>
        <w:t>Cola</w:t>
      </w:r>
      <w:r>
        <w:rPr>
          <w:rFonts w:ascii="Times New Roman" w:hAnsi="Times New Roman" w:cs="Times New Roman"/>
          <w:b/>
          <w:i/>
        </w:rPr>
        <w:t>» - просто протяните руку, чтобы «Кола» стала доступна вам.</w:t>
      </w:r>
    </w:p>
    <w:p w14:paraId="1920092E">
      <w:pPr>
        <w:ind w:firstLine="708"/>
        <w:jc w:val="both"/>
        <w:rPr>
          <w:rFonts w:ascii="Times New Roman" w:hAnsi="Times New Roman" w:cs="Times New Roman"/>
          <w:b/>
          <w:i/>
        </w:rPr>
      </w:pPr>
    </w:p>
    <w:p w14:paraId="5427B3A4">
      <w:pPr>
        <w:ind w:firstLine="708"/>
        <w:jc w:val="center"/>
        <w:rPr>
          <w:rFonts w:ascii="Times New Roman" w:hAnsi="Times New Roman" w:cs="Times New Roman"/>
          <w:b/>
        </w:rPr>
      </w:pPr>
    </w:p>
    <w:p w14:paraId="0DDBED9C">
      <w:pPr>
        <w:ind w:firstLine="708"/>
        <w:jc w:val="center"/>
        <w:rPr>
          <w:rFonts w:ascii="Times New Roman" w:hAnsi="Times New Roman" w:cs="Times New Roman"/>
          <w:b/>
        </w:rPr>
      </w:pPr>
    </w:p>
    <w:p w14:paraId="23D158A5">
      <w:pPr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ЛИЗИНГ</w:t>
      </w:r>
    </w:p>
    <w:p w14:paraId="6F4697BF">
      <w:pPr>
        <w:ind w:firstLine="708"/>
        <w:jc w:val="center"/>
        <w:rPr>
          <w:rFonts w:ascii="Times New Roman" w:hAnsi="Times New Roman" w:cs="Times New Roman"/>
          <w:b/>
        </w:rPr>
      </w:pPr>
    </w:p>
    <w:p w14:paraId="5513A8DF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Право собственности не переходит к арендатору. Обычно аренду можно прекратить в любой момент по желанию арендатора. Часто договор оперативного лизинга предусматривает ремонт и обслуживание оборудования силами арендодателя.</w:t>
      </w:r>
    </w:p>
    <w:p w14:paraId="3015CB6D">
      <w:pPr>
        <w:ind w:left="708"/>
        <w:jc w:val="both"/>
        <w:rPr>
          <w:rFonts w:ascii="Times New Roman" w:hAnsi="Times New Roman" w:cs="Times New Roman"/>
        </w:rPr>
      </w:pPr>
    </w:p>
    <w:tbl>
      <w:tblPr>
        <w:tblStyle w:val="6"/>
        <w:tblW w:w="9702" w:type="dxa"/>
        <w:tblInd w:w="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2"/>
      </w:tblGrid>
      <w:tr w14:paraId="619D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 w14:paraId="6DB207B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Различие между финансовым и оперативным лизингом на практике не столь очевидно, как это может показаться на первый взгляд, и в значительной мере </w:t>
            </w:r>
            <w:r>
              <w:rPr>
                <w:rFonts w:ascii="Times New Roman" w:hAnsi="Times New Roman" w:cs="Times New Roman"/>
                <w:bdr w:val="single" w:color="auto" w:sz="4" w:space="0"/>
              </w:rPr>
              <w:t>зависит от принятых в стране законов.</w:t>
            </w:r>
            <w:r>
              <w:rPr>
                <w:rFonts w:ascii="Times New Roman" w:hAnsi="Times New Roman" w:cs="Times New Roman"/>
              </w:rPr>
              <w:t xml:space="preserve"> Ниже обсуждаются проблемы, связанные в основном с финансовым лизингом.</w:t>
            </w:r>
          </w:p>
        </w:tc>
      </w:tr>
    </w:tbl>
    <w:p w14:paraId="0A7E1351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p w14:paraId="3DF3409B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p w14:paraId="5D927668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p w14:paraId="7D581E4A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p w14:paraId="5BC3161A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0622FC3B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double" w:color="auto" w:sz="4" w:space="0"/>
          <w:bottom w:val="none" w:color="auto" w:sz="0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 w14:paraId="0306BFD9">
        <w:tblPrEx>
          <w:tblBorders>
            <w:top w:val="none" w:color="auto" w:sz="0" w:space="0"/>
            <w:left w:val="double" w:color="auto" w:sz="4" w:space="0"/>
            <w:bottom w:val="none" w:color="auto" w:sz="0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exact"/>
        </w:trPr>
        <w:tc>
          <w:tcPr>
            <w:tcW w:w="8931" w:type="dxa"/>
          </w:tcPr>
          <w:p w14:paraId="5C3035E4">
            <w:pPr>
              <w:tabs>
                <w:tab w:val="left" w:pos="5812"/>
                <w:tab w:val="left" w:pos="7230"/>
              </w:tabs>
              <w:spacing w:after="0" w:line="360" w:lineRule="auto"/>
              <w:ind w:right="11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Настройка формата </w:t>
            </w:r>
            <w:r>
              <w:rPr>
                <w:rFonts w:ascii="Times New Roman" w:hAnsi="Times New Roman" w:cs="Times New Roman"/>
                <w:color w:val="FFFFFF" w:themeColor="background1"/>
                <w:highlight w:val="black"/>
              </w:rPr>
              <w:t>выделенных</w:t>
            </w:r>
            <w:r>
              <w:rPr>
                <w:rFonts w:ascii="Times New Roman" w:hAnsi="Times New Roman" w:cs="Times New Roman"/>
              </w:rPr>
              <w:t xml:space="preserve"> символов осуществляется в диалоге Шрифт] и </w:t>
            </w:r>
          </w:p>
          <w:p w14:paraId="5B32A8AB">
            <w:pPr>
              <w:tabs>
                <w:tab w:val="left" w:pos="5812"/>
                <w:tab w:val="left" w:pos="7230"/>
              </w:tabs>
              <w:spacing w:after="0" w:line="360" w:lineRule="auto"/>
              <w:ind w:right="11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включает такие характеристики:</w:t>
            </w:r>
          </w:p>
          <w:p w14:paraId="2C8B25C9">
            <w:pPr>
              <w:tabs>
                <w:tab w:val="left" w:pos="5812"/>
                <w:tab w:val="left" w:pos="7230"/>
              </w:tabs>
              <w:spacing w:after="0" w:line="360" w:lineRule="auto"/>
              <w:ind w:right="1132"/>
              <w:rPr>
                <w:rFonts w:ascii="Times New Roman" w:hAnsi="Times New Roman" w:cs="Times New Roman"/>
              </w:rPr>
            </w:pPr>
          </w:p>
        </w:tc>
      </w:tr>
    </w:tbl>
    <w:p w14:paraId="0E50C9F4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p w14:paraId="4CC7BAF9">
      <w:pPr>
        <w:pStyle w:val="7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шрифт (Arial, Times, Courier);</w:t>
      </w:r>
    </w:p>
    <w:p w14:paraId="43A90387">
      <w:pPr>
        <w:pStyle w:val="7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начертание (Обычный, </w:t>
      </w:r>
      <w:r>
        <w:rPr>
          <w:rFonts w:ascii="Times New Roman" w:hAnsi="Times New Roman" w:cs="Times New Roman"/>
          <w:i/>
          <w:iCs/>
        </w:rPr>
        <w:t>Курсив</w:t>
      </w:r>
      <w:r>
        <w:rPr>
          <w:rFonts w:ascii="Times New Roman" w:hAnsi="Times New Roman" w:cs="Times New Roman"/>
          <w:b/>
          <w:bCs/>
        </w:rPr>
        <w:t xml:space="preserve">, Полужирный, </w:t>
      </w:r>
      <w:r>
        <w:rPr>
          <w:rFonts w:ascii="Times New Roman" w:hAnsi="Times New Roman" w:cs="Times New Roman"/>
          <w:b/>
          <w:bCs/>
          <w:i/>
          <w:iCs/>
        </w:rPr>
        <w:t>Полужирный курсив</w:t>
      </w:r>
      <w:r>
        <w:rPr>
          <w:rFonts w:ascii="Times New Roman" w:hAnsi="Times New Roman" w:cs="Times New Roman"/>
        </w:rPr>
        <w:t>);</w:t>
      </w:r>
    </w:p>
    <w:p w14:paraId="0EE70064">
      <w:pPr>
        <w:pStyle w:val="7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размер;</w:t>
      </w:r>
    </w:p>
    <w:p w14:paraId="0020C1A4">
      <w:pPr>
        <w:pStyle w:val="7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подчеркивание</w:t>
      </w:r>
      <w:r>
        <w:rPr>
          <w:rFonts w:ascii="Times New Roman" w:hAnsi="Times New Roman" w:cs="Times New Roman"/>
        </w:rPr>
        <w:t>;</w:t>
      </w:r>
    </w:p>
    <w:p w14:paraId="69E0A5CF">
      <w:pPr>
        <w:pStyle w:val="7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030A0"/>
        </w:rPr>
        <w:t>цвет</w:t>
      </w:r>
      <w:r>
        <w:rPr>
          <w:rFonts w:ascii="Times New Roman" w:hAnsi="Times New Roman" w:cs="Times New Roman"/>
        </w:rPr>
        <w:t>;</w:t>
      </w:r>
    </w:p>
    <w:p w14:paraId="7A9E6AEA">
      <w:pPr>
        <w:pStyle w:val="7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эффекты (</w:t>
      </w:r>
      <w:r>
        <w:rPr>
          <w:rFonts w:ascii="Times New Roman" w:hAnsi="Times New Roman" w:cs="Times New Roman"/>
          <w:strike/>
        </w:rPr>
        <w:t>зачеркнутый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dstrike/>
        </w:rPr>
        <w:t>двойное зачеркивание</w:t>
      </w:r>
      <w:r>
        <w:rPr>
          <w:rFonts w:ascii="Times New Roman" w:hAnsi="Times New Roman" w:cs="Times New Roman"/>
        </w:rPr>
        <w:t>,</w:t>
      </w:r>
    </w:p>
    <w:p w14:paraId="1447985D">
      <w:pPr>
        <w:pStyle w:val="7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верхний индекс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vertAlign w:val="subscript"/>
        </w:rPr>
        <w:t>нижний индекс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eastAsia="+ Основной текст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 тенью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eastAsia="+ Основной текст" w:cs="Times New Roman"/>
          <w:outline/>
          <w:color w:val="FFFFFF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контур</w:t>
      </w:r>
      <w:r>
        <w:rPr>
          <w:rFonts w:hint="default" w:ascii="Times New Roman" w:hAnsi="Times New Roman" w:eastAsia="+ Основной текст" w:cs="Times New Roman"/>
          <w:outline/>
          <w:color w:val="FFFFFF"/>
          <w:lang w:val="ru-RU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mallCaps/>
        </w:rPr>
        <w:t>Малые прописные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caps/>
        </w:rPr>
        <w:t>все прописные</w:t>
      </w:r>
      <w:r>
        <w:rPr>
          <w:rFonts w:ascii="Times New Roman" w:hAnsi="Times New Roman" w:cs="Times New Roman"/>
        </w:rPr>
        <w:t>).</w:t>
      </w:r>
    </w:p>
    <w:p w14:paraId="19E398E2">
      <w:pPr>
        <w:pStyle w:val="7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интервал (обычный</w:t>
      </w:r>
      <w:r>
        <w:rPr>
          <w:rFonts w:ascii="Times New Roman" w:hAnsi="Times New Roman" w:cs="Times New Roman"/>
          <w:spacing w:val="-20"/>
        </w:rPr>
        <w:t>, уплотненный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pacing w:val="30"/>
        </w:rPr>
        <w:t>разреженный</w:t>
      </w:r>
      <w:r>
        <w:rPr>
          <w:rFonts w:ascii="Times New Roman" w:hAnsi="Times New Roman" w:cs="Times New Roman"/>
        </w:rPr>
        <w:t>).</w:t>
      </w:r>
    </w:p>
    <w:p w14:paraId="3C00A0E8">
      <w:pPr>
        <w:pStyle w:val="7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смещение (нет, </w:t>
      </w:r>
      <w:r>
        <w:rPr>
          <w:rFonts w:ascii="Times New Roman" w:hAnsi="Times New Roman" w:cs="Times New Roman"/>
          <w:position w:val="6"/>
        </w:rPr>
        <w:t>вверх</w:t>
      </w:r>
      <w:r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  <w:position w:val="-6"/>
          <w:vertAlign w:val="subscript"/>
        </w:rPr>
        <w:t>вниз</w:t>
      </w:r>
      <w:r>
        <w:rPr>
          <w:rFonts w:ascii="Times New Roman" w:hAnsi="Times New Roman" w:cs="Times New Roman"/>
        </w:rPr>
        <w:t>).</w:t>
      </w:r>
    </w:p>
    <w:p w14:paraId="00D6E7A4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46B8644D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250825</wp:posOffset>
                </wp:positionV>
                <wp:extent cx="5934075" cy="314325"/>
                <wp:effectExtent l="6350" t="6350" r="18415" b="14605"/>
                <wp:wrapNone/>
                <wp:docPr id="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14325"/>
                        </a:xfrm>
                        <a:prstGeom prst="rect">
                          <a:avLst/>
                        </a:prstGeom>
                        <a:pattFill prst="cross">
                          <a:fgClr>
                            <a:srgbClr val="339966"/>
                          </a:fgClr>
                          <a:bgClr>
                            <a:srgbClr val="BFBFBF"/>
                          </a:bgClr>
                        </a:pattFill>
                        <a:ln w="12700" cap="flat" cmpd="sng">
                          <a:solidFill>
                            <a:srgbClr val="1F376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o:spt="1" style="position:absolute;left:0pt;margin-top:19.75pt;height:24.75pt;width:467.25pt;mso-position-horizontal:center;mso-position-horizontal-relative:page;z-index:-251657216;v-text-anchor:middle;mso-width-relative:page;mso-height-relative:margin;" fillcolor="#33996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">
                <v:fill type="pattern" on="t" color2="#BFBFBF" o:title="Большая сетка" focussize="0,0" r:id="rId6"/>
                <v:stroke weight="1pt" color="#1F3763" joinstyle="miter"/>
                <v:imagedata o:title=""/>
                <o:lock v:ext="edit" aspectratio="f"/>
              </v:rect>
            </w:pict>
          </mc:Fallback>
        </mc:AlternateContent>
      </w:r>
    </w:p>
    <w:p w14:paraId="773D4EE3">
      <w:pPr>
        <w:tabs>
          <w:tab w:val="left" w:pos="5812"/>
          <w:tab w:val="left" w:pos="7230"/>
        </w:tabs>
        <w:spacing w:after="0" w:line="276" w:lineRule="auto"/>
        <w:ind w:right="113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Ипотека является только способом обеспечения выполнения основного требования,например, по кредитному соглашению...</w:t>
      </w:r>
    </w:p>
    <w:p w14:paraId="2B02A88A">
      <w:pPr>
        <w:tabs>
          <w:tab w:val="left" w:pos="5812"/>
          <w:tab w:val="left" w:pos="7230"/>
        </w:tabs>
        <w:spacing w:after="0" w:line="276" w:lineRule="auto"/>
        <w:ind w:right="1132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6"/>
        <w:tblW w:w="0" w:type="auto"/>
        <w:tblInd w:w="-431" w:type="dxa"/>
        <w:tblBorders>
          <w:top w:val="threeDEngrave" w:color="auto" w:sz="24" w:space="0"/>
          <w:left w:val="none" w:color="auto" w:sz="0" w:space="0"/>
          <w:bottom w:val="none" w:color="auto" w:sz="0" w:space="0"/>
          <w:right w:val="dashSmallGap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 w14:paraId="7EB364EB">
        <w:tblPrEx>
          <w:tblBorders>
            <w:top w:val="threeDEngrave" w:color="auto" w:sz="24" w:space="0"/>
            <w:left w:val="none" w:color="auto" w:sz="0" w:space="0"/>
            <w:bottom w:val="none" w:color="auto" w:sz="0" w:space="0"/>
            <w:right w:val="dashSmallGap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9776" w:type="dxa"/>
          </w:tcPr>
          <w:p w14:paraId="18DBB0D7">
            <w:pPr>
              <w:spacing w:after="0" w:line="240" w:lineRule="auto"/>
              <w:ind w:left="709" w:hanging="709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Оперативный лизинг (operatinglease). Сюда относят все виды аренды, которые не являются финансовым лизингом. Оперативный лизинг характеризуется короткими сроками, что предполагает возможность неоднократной сдачи оборудования в аренду....</w:t>
            </w:r>
          </w:p>
        </w:tc>
      </w:tr>
    </w:tbl>
    <w:p w14:paraId="21F8D9B2">
      <w:pPr>
        <w:jc w:val="center"/>
      </w:pPr>
    </w:p>
    <w:p w14:paraId="0C3025EF">
      <w:r>
        <w:t>6.</w:t>
      </w:r>
    </w:p>
    <w:p w14:paraId="3494E2A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Программное обеспечение ЭВМ</w:t>
      </w:r>
    </w:p>
    <w:p w14:paraId="6CE6C4CE">
      <w:pPr>
        <w:jc w:val="center"/>
        <w:rPr>
          <w:rFonts w:ascii="Times New Roman" w:hAnsi="Times New Roman" w:cs="Times New Roman"/>
        </w:rPr>
      </w:pPr>
    </w:p>
    <w:tbl>
      <w:tblPr>
        <w:tblStyle w:val="6"/>
        <w:tblpPr w:leftFromText="180" w:rightFromText="180" w:vertAnchor="text" w:horzAnchor="margin" w:tblpY="25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91BD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56CA04A5"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Операционные системы</w:t>
            </w:r>
          </w:p>
          <w:p w14:paraId="2D56498B">
            <w:pPr>
              <w:pStyle w:val="7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DOS</w:t>
            </w:r>
          </w:p>
          <w:p w14:paraId="47CD4A22">
            <w:pPr>
              <w:pStyle w:val="7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XP</w:t>
            </w:r>
          </w:p>
          <w:p w14:paraId="3701E5A7">
            <w:pPr>
              <w:pStyle w:val="7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Windows NT </w:t>
            </w:r>
          </w:p>
          <w:p w14:paraId="1E517DE8">
            <w:pPr>
              <w:pStyle w:val="7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UNIX</w:t>
            </w:r>
          </w:p>
          <w:p w14:paraId="1905A723">
            <w:pPr>
              <w:pStyle w:val="7"/>
              <w:spacing w:after="0" w:line="240" w:lineRule="auto"/>
              <w:ind w:left="792"/>
              <w:rPr>
                <w:rFonts w:ascii="Times New Roman" w:hAnsi="Times New Roman" w:cs="Times New Roman"/>
              </w:rPr>
            </w:pPr>
          </w:p>
          <w:p w14:paraId="7DF391E1"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Системы программирования</w:t>
            </w:r>
          </w:p>
          <w:p w14:paraId="1A27378F">
            <w:pPr>
              <w:pStyle w:val="7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</w:t>
            </w:r>
          </w:p>
          <w:p w14:paraId="2FECC01C">
            <w:pPr>
              <w:pStyle w:val="7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PASCAL</w:t>
            </w:r>
          </w:p>
          <w:p w14:paraId="5A54DDE1">
            <w:pPr>
              <w:pStyle w:val="7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С++</w:t>
            </w:r>
          </w:p>
          <w:p w14:paraId="6F98B51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368A3F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3CAC3F6B"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Пакеты прикладных программ </w:t>
            </w:r>
          </w:p>
          <w:p w14:paraId="124562DC">
            <w:pPr>
              <w:pStyle w:val="7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Текстовые процессоры</w:t>
            </w:r>
          </w:p>
          <w:p w14:paraId="17E4D507">
            <w:pPr>
              <w:pStyle w:val="7"/>
              <w:numPr>
                <w:ilvl w:val="2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WORDPAD</w:t>
            </w:r>
          </w:p>
          <w:p w14:paraId="566C3C04">
            <w:pPr>
              <w:pStyle w:val="7"/>
              <w:numPr>
                <w:ilvl w:val="2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  <w:p w14:paraId="1C344F40">
            <w:pPr>
              <w:pStyle w:val="7"/>
              <w:numPr>
                <w:ilvl w:val="2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 PERFECT</w:t>
            </w:r>
          </w:p>
          <w:p w14:paraId="170D71A4">
            <w:pPr>
              <w:pStyle w:val="7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Электронные</w:t>
            </w:r>
            <w:r>
              <w:rPr>
                <w:rFonts w:hint="default" w:ascii="Times New Roman" w:hAnsi="Times New Roman" w:cs="Times New Roman"/>
                <w:i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таблицы</w:t>
            </w:r>
          </w:p>
          <w:p w14:paraId="253DA9E6">
            <w:pPr>
              <w:pStyle w:val="7"/>
              <w:numPr>
                <w:ilvl w:val="2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</w:t>
            </w:r>
          </w:p>
          <w:p w14:paraId="4142EAE7">
            <w:pPr>
              <w:pStyle w:val="7"/>
              <w:numPr>
                <w:ilvl w:val="2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LOTUS</w:t>
            </w:r>
          </w:p>
          <w:p w14:paraId="2684846C">
            <w:pPr>
              <w:pStyle w:val="7"/>
              <w:numPr>
                <w:ilvl w:val="2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QUATROPRO</w:t>
            </w:r>
          </w:p>
          <w:p w14:paraId="2507DBF8">
            <w:pPr>
              <w:pStyle w:val="7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Системы управления базами данных</w:t>
            </w:r>
          </w:p>
          <w:p w14:paraId="0910AF71">
            <w:pPr>
              <w:pStyle w:val="7"/>
              <w:numPr>
                <w:ilvl w:val="2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FOXPRO</w:t>
            </w:r>
          </w:p>
          <w:p w14:paraId="0A439542">
            <w:pPr>
              <w:pStyle w:val="7"/>
              <w:numPr>
                <w:ilvl w:val="2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</w:p>
          <w:p w14:paraId="15C50DC6">
            <w:pPr>
              <w:pStyle w:val="7"/>
              <w:numPr>
                <w:ilvl w:val="2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ORACLE</w:t>
            </w:r>
          </w:p>
          <w:p w14:paraId="3EE773C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5840448">
      <w:r>
        <w:t xml:space="preserve">7.   </w:t>
      </w:r>
    </w:p>
    <w:p w14:paraId="472C8CD0">
      <w:pPr>
        <w:sectPr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 w14:paraId="1FB0D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Переводом на другую работу считается:</w:t>
      </w:r>
    </w:p>
    <w:p w14:paraId="7F20A50D">
      <w:pPr>
        <w:pStyle w:val="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перевод на том же предприятии или в учреждении для</w:t>
      </w:r>
      <w:r>
        <w:rPr>
          <w:rFonts w:hint="default" w:ascii="Times New Roman" w:hAnsi="Times New Roman" w:cs="Times New Roman"/>
          <w:lang w:val="ru-RU"/>
        </w:rPr>
        <w:t xml:space="preserve"> </w:t>
      </w:r>
    </w:p>
    <w:p w14:paraId="5358B006">
      <w:pPr>
        <w:pStyle w:val="7"/>
        <w:numPr>
          <w:numId w:val="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выполнения работ по другой специальности, квалификации или на другую должность;</w:t>
      </w:r>
    </w:p>
    <w:p w14:paraId="0FC14E5A">
      <w:pPr>
        <w:pStyle w:val="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перевод на другую работу на том же предприятии, </w:t>
      </w:r>
    </w:p>
    <w:p w14:paraId="538208D8">
      <w:pPr>
        <w:pStyle w:val="7"/>
        <w:numPr>
          <w:numId w:val="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учреждении, организации, а также перевод на работу на другое предприятие либо в другое предприятие либо в </w:t>
      </w:r>
    </w:p>
    <w:p w14:paraId="5E0D8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другую местность, хотя бы вместе с предприятием, допускается </w:t>
      </w:r>
      <w:r>
        <w:rPr>
          <w:rFonts w:ascii="Times New Roman" w:hAnsi="Times New Roman" w:cs="Times New Roman"/>
          <w:u w:val="single"/>
        </w:rPr>
        <w:t>только с согласия работника,</w:t>
      </w:r>
      <w:r>
        <w:rPr>
          <w:rFonts w:ascii="Times New Roman" w:hAnsi="Times New Roman" w:cs="Times New Roman"/>
        </w:rPr>
        <w:t xml:space="preserve"> за исключением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случаев, предусмотренных в статьях 26 и 27 КЗОТ РФ.</w:t>
      </w:r>
    </w:p>
    <w:p w14:paraId="52D138F7">
      <w:pPr>
        <w:sectPr>
          <w:type w:val="continuous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6000" w:space="708"/>
            <w:col w:w="2646"/>
          </w:cols>
          <w:docGrid w:linePitch="360" w:charSpace="0"/>
        </w:sectPr>
      </w:pPr>
    </w:p>
    <w:p w14:paraId="5E69CB3B">
      <w:pPr>
        <w:sectPr>
          <w:type w:val="continuous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2"/>
          <w:docGrid w:linePitch="360" w:charSpace="0"/>
        </w:sectPr>
      </w:pPr>
    </w:p>
    <w:p w14:paraId="25F4C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</w:p>
    <w:p w14:paraId="70B51A3B">
      <w:pPr>
        <w:rPr>
          <w:rFonts w:ascii="Times New Roman" w:hAnsi="Times New Roman" w:cs="Times New Roman"/>
        </w:rPr>
        <w:sectPr>
          <w:type w:val="continuous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 w14:paraId="0C5F7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    Текстовый редактор позволяет осуществлять многоколоночную верстку текста.</w:t>
      </w:r>
    </w:p>
    <w:p w14:paraId="419A508E">
      <w:pPr>
        <w:rPr>
          <w:rFonts w:ascii="Times New Roman" w:hAnsi="Times New Roman" w:cs="Times New Roman"/>
        </w:rPr>
      </w:pPr>
    </w:p>
    <w:p w14:paraId="198A8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   Число, ширина колонок и многие другие параметры доступны для изменения пользователем.</w:t>
      </w:r>
    </w:p>
    <w:p w14:paraId="0A14A70A">
      <w:pPr>
        <w:rPr>
          <w:rFonts w:ascii="Times New Roman" w:hAnsi="Times New Roman" w:cs="Times New Roman"/>
        </w:rPr>
      </w:pPr>
    </w:p>
    <w:p w14:paraId="423EC4CC">
      <w:pPr>
        <w:pBdr>
          <w:top w:val="double" w:color="auto" w:sz="4" w:space="1"/>
          <w:left w:val="double" w:color="auto" w:sz="4" w:space="11"/>
          <w:bottom w:val="double" w:color="auto" w:sz="4" w:space="1"/>
          <w:right w:val="double" w:color="auto" w:sz="4" w:space="4"/>
          <w:between w:val="none" w:color="auto" w:sz="0" w:space="0"/>
        </w:pBd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Текстовый редактор позволяет осуществлять многоколоночную верстку текста.</w:t>
      </w:r>
    </w:p>
    <w:p w14:paraId="7D426E32">
      <w:pPr>
        <w:rPr>
          <w:rFonts w:ascii="Times New Roman" w:hAnsi="Times New Roman" w:cs="Times New Roman"/>
        </w:rPr>
      </w:pPr>
    </w:p>
    <w:p w14:paraId="685DCDA5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   Число, ширина колонок и многие другие параметры доступны для измененияпользователем</w:t>
      </w:r>
    </w:p>
    <w:p w14:paraId="28DB2EC2"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spacing w:after="160" w:line="259" w:lineRule="auto"/>
        <w:rPr>
          <w:rFonts w:ascii="Times New Roman" w:hAnsi="Times New Roman" w:cs="Times New Roman"/>
        </w:rPr>
        <w:sectPr>
          <w:type w:val="continuous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9" w:num="4"/>
          <w:docGrid w:linePitch="360" w:charSpace="0"/>
        </w:sectPr>
      </w:pPr>
    </w:p>
    <w:p w14:paraId="5DE3A412"/>
    <w:p w14:paraId="6F2D7605">
      <w:r>
        <w:t>9.</w:t>
      </w:r>
    </w:p>
    <w:p w14:paraId="7993C238">
      <w:pPr>
        <w:sectPr>
          <w:type w:val="continuous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 w14:paraId="632B216E">
      <w:pPr>
        <w:ind w:left="-284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Маркированный список № 1</w:t>
      </w:r>
    </w:p>
    <w:p w14:paraId="4597E4D3">
      <w:pPr>
        <w:pStyle w:val="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первый</w:t>
      </w:r>
    </w:p>
    <w:p w14:paraId="0C8819B1">
      <w:pPr>
        <w:pStyle w:val="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первый в первом</w:t>
      </w:r>
    </w:p>
    <w:p w14:paraId="4712C802">
      <w:pPr>
        <w:pStyle w:val="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второй в первом </w:t>
      </w:r>
    </w:p>
    <w:p w14:paraId="71F895BA">
      <w:pPr>
        <w:pStyle w:val="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</w:t>
      </w:r>
    </w:p>
    <w:p w14:paraId="5C306311">
      <w:pPr>
        <w:rPr>
          <w:rFonts w:ascii="Times New Roman" w:hAnsi="Times New Roman" w:cs="Times New Roman"/>
        </w:rPr>
      </w:pPr>
    </w:p>
    <w:p w14:paraId="0CD6A8A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Нумерованный список №2</w:t>
      </w:r>
    </w:p>
    <w:p w14:paraId="539926D0">
      <w:pPr>
        <w:pStyle w:val="7"/>
        <w:numPr>
          <w:ilvl w:val="0"/>
          <w:numId w:val="6"/>
        </w:numPr>
        <w:ind w:left="567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первый</w:t>
      </w:r>
    </w:p>
    <w:p w14:paraId="0FE97248">
      <w:pPr>
        <w:pStyle w:val="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</w:t>
      </w:r>
    </w:p>
    <w:p w14:paraId="48C7D7A3">
      <w:pPr>
        <w:pStyle w:val="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третий</w:t>
      </w:r>
    </w:p>
    <w:p w14:paraId="3A8083E1">
      <w:pPr>
        <w:pStyle w:val="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четвертый</w:t>
      </w:r>
    </w:p>
    <w:p w14:paraId="0136CBEA">
      <w:pPr>
        <w:spacing w:line="240" w:lineRule="auto"/>
        <w:ind w:left="-284"/>
        <w:rPr>
          <w:rFonts w:ascii="Times New Roman" w:hAnsi="Times New Roman" w:cs="Times New Roman"/>
          <w:b/>
          <w:bCs/>
          <w:u w:val="single"/>
        </w:rPr>
      </w:pPr>
    </w:p>
    <w:p w14:paraId="42A7B759">
      <w:pPr>
        <w:spacing w:line="24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Многоуровневый список №3</w:t>
      </w:r>
    </w:p>
    <w:p w14:paraId="2609B653">
      <w:pPr>
        <w:pStyle w:val="7"/>
        <w:numPr>
          <w:ilvl w:val="0"/>
          <w:numId w:val="7"/>
        </w:num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Принтеры</w:t>
      </w:r>
    </w:p>
    <w:p w14:paraId="7D94E3C9">
      <w:pPr>
        <w:pStyle w:val="7"/>
        <w:numPr>
          <w:ilvl w:val="1"/>
          <w:numId w:val="7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лазерный</w:t>
      </w:r>
      <w:r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lang w:val="en-US"/>
        </w:rPr>
        <w:t>LasterJet 5L</w:t>
      </w:r>
    </w:p>
    <w:p w14:paraId="480CA619">
      <w:pPr>
        <w:pStyle w:val="7"/>
        <w:numPr>
          <w:ilvl w:val="1"/>
          <w:numId w:val="7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струйный –</w:t>
      </w:r>
      <w:r>
        <w:rPr>
          <w:rFonts w:ascii="Times New Roman" w:hAnsi="Times New Roman" w:cs="Times New Roman"/>
          <w:lang w:val="en-US"/>
        </w:rPr>
        <w:t xml:space="preserve"> Epson</w:t>
      </w:r>
    </w:p>
    <w:p w14:paraId="077CEEE8">
      <w:pPr>
        <w:pStyle w:val="7"/>
        <w:numPr>
          <w:ilvl w:val="1"/>
          <w:numId w:val="7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матричный</w:t>
      </w:r>
    </w:p>
    <w:p w14:paraId="318C19F0">
      <w:pPr>
        <w:pStyle w:val="7"/>
        <w:ind w:left="426"/>
        <w:rPr>
          <w:rFonts w:ascii="Times New Roman" w:hAnsi="Times New Roman" w:cs="Times New Roman"/>
        </w:rPr>
      </w:pPr>
    </w:p>
    <w:p w14:paraId="4863C603">
      <w:pPr>
        <w:rPr>
          <w:rFonts w:ascii="Times New Roman" w:hAnsi="Times New Roman" w:cs="Times New Roman"/>
        </w:rPr>
      </w:pPr>
    </w:p>
    <w:p w14:paraId="5A9935FC">
      <w:pPr>
        <w:jc w:val="center"/>
        <w:rPr>
          <w:rFonts w:ascii="Times New Roman" w:hAnsi="Times New Roman" w:cs="Times New Roman"/>
        </w:rPr>
        <w:sectPr>
          <w:type w:val="continuous"/>
          <w:pgSz w:w="11906" w:h="16838"/>
          <w:pgMar w:top="1134" w:right="850" w:bottom="1134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571" w:num="3"/>
          <w:docGrid w:linePitch="360" w:charSpace="0"/>
        </w:sectPr>
      </w:pPr>
    </w:p>
    <w:p w14:paraId="10A1D6D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10.</w:t>
      </w:r>
    </w:p>
    <w:p w14:paraId="5BC0A01A"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КОНСУЛЬТАЦИЯ       (017) 234-72-10</w:t>
      </w:r>
    </w:p>
    <w:p w14:paraId="79417D51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838200" cy="619125"/>
            <wp:effectExtent l="0" t="0" r="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5"/>
        <w:gridCol w:w="4786"/>
      </w:tblGrid>
      <w:tr w14:paraId="57C19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</w:tblPrEx>
        <w:trPr>
          <w:trHeight w:val="2218" w:hRule="atLeast"/>
        </w:trPr>
        <w:tc>
          <w:tcPr>
            <w:tcW w:w="4785" w:type="dxa"/>
            <w:tcBorders>
              <w:tl2br w:val="nil"/>
              <w:tr2bl w:val="nil"/>
            </w:tcBorders>
          </w:tcPr>
          <w:p w14:paraId="5BDEC8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ru-RU"/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 w:bidi="ar"/>
              </w:rPr>
              <w:t>√</w:t>
            </w:r>
            <w:r>
              <w:rPr>
                <w:rFonts w:hint="default"/>
                <w:i/>
                <w:iCs/>
                <w:lang w:val="ru-RU"/>
              </w:rPr>
              <w:t>Льготная приватизация</w:t>
            </w:r>
            <w:r>
              <w:rPr>
                <w:rFonts w:hint="default"/>
                <w:lang w:val="ru-RU"/>
              </w:rPr>
              <w:t>: жилищная квота идет в зачет.</w:t>
            </w:r>
          </w:p>
          <w:p w14:paraId="70A977D7">
            <w:pPr>
              <w:jc w:val="left"/>
              <w:rPr>
                <w:rFonts w:hint="default"/>
                <w:lang w:val="ru-RU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√</w:t>
            </w:r>
            <w:r>
              <w:rPr>
                <w:rFonts w:hint="default"/>
                <w:i/>
                <w:iCs/>
                <w:lang w:val="ru-RU"/>
              </w:rPr>
              <w:t>Совместная собственность</w:t>
            </w:r>
            <w:r>
              <w:rPr>
                <w:rFonts w:hint="default"/>
                <w:lang w:val="ru-RU"/>
              </w:rPr>
              <w:t xml:space="preserve"> супругов на квартиру.</w:t>
            </w:r>
          </w:p>
          <w:p w14:paraId="6F296772">
            <w:pPr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786" w:type="dxa"/>
            <w:tcBorders>
              <w:tl2br w:val="nil"/>
              <w:tr2bl w:val="nil"/>
            </w:tcBorders>
          </w:tcPr>
          <w:p w14:paraId="5D5B68A8">
            <w:pPr>
              <w:jc w:val="left"/>
              <w:rPr>
                <w:rFonts w:hint="default"/>
                <w:lang w:val="ru-RU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√</w:t>
            </w:r>
            <w:r>
              <w:rPr>
                <w:rFonts w:hint="default"/>
                <w:i/>
                <w:iCs/>
                <w:lang w:val="ru-RU"/>
              </w:rPr>
              <w:t xml:space="preserve">Заключение соглашения </w:t>
            </w:r>
            <w:r>
              <w:rPr>
                <w:rFonts w:hint="default"/>
                <w:i w:val="0"/>
                <w:iCs w:val="0"/>
                <w:lang w:val="ru-RU"/>
              </w:rPr>
              <w:t>о правах</w:t>
            </w:r>
            <w:r>
              <w:rPr>
                <w:rFonts w:hint="default"/>
                <w:lang w:val="ru-RU"/>
              </w:rPr>
              <w:t xml:space="preserve"> и обязанностях члена семьи собственника квартиры.</w:t>
            </w:r>
          </w:p>
          <w:p w14:paraId="4048808C">
            <w:pPr>
              <w:jc w:val="left"/>
              <w:rPr>
                <w:rFonts w:hint="default"/>
                <w:lang w:val="ru-RU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√</w:t>
            </w:r>
            <w:r>
              <w:rPr>
                <w:rFonts w:hint="default"/>
                <w:i/>
                <w:iCs/>
                <w:lang w:val="ru-RU"/>
              </w:rPr>
              <w:t>Большая квартплата</w:t>
            </w:r>
            <w:r>
              <w:rPr>
                <w:rFonts w:hint="default"/>
                <w:lang w:val="ru-RU"/>
              </w:rPr>
              <w:t>: право нанимателя обменять квартиру на меньшую.</w:t>
            </w:r>
          </w:p>
          <w:p w14:paraId="4E36AEC3">
            <w:pPr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 w14:paraId="041BFCDA">
      <w:pPr>
        <w:jc w:val="center"/>
      </w:pPr>
    </w:p>
    <w:p w14:paraId="23157423">
      <w:pPr>
        <w:jc w:val="center"/>
      </w:pPr>
      <w:bookmarkStart w:id="0" w:name="_GoBack"/>
      <w:bookmarkEnd w:id="0"/>
    </w:p>
    <w:p w14:paraId="4B4FAE06">
      <w:pPr>
        <w:pStyle w:val="7"/>
        <w:ind w:left="1224"/>
      </w:pPr>
    </w:p>
    <w:sectPr>
      <w:type w:val="continuous"/>
      <w:pgSz w:w="11906" w:h="16838"/>
      <w:pgMar w:top="1134" w:right="850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XITSMath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F1C1E"/>
    <w:multiLevelType w:val="multilevel"/>
    <w:tmpl w:val="025F1C1E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3A7D38"/>
    <w:multiLevelType w:val="multilevel"/>
    <w:tmpl w:val="033A7D38"/>
    <w:lvl w:ilvl="0" w:tentative="0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C827805"/>
    <w:multiLevelType w:val="multilevel"/>
    <w:tmpl w:val="0C827805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55628"/>
    <w:multiLevelType w:val="multilevel"/>
    <w:tmpl w:val="2F255628"/>
    <w:lvl w:ilvl="0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66B7399A"/>
    <w:multiLevelType w:val="multilevel"/>
    <w:tmpl w:val="66B7399A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>
    <w:nsid w:val="69D96F5D"/>
    <w:multiLevelType w:val="multilevel"/>
    <w:tmpl w:val="69D96F5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314681"/>
    <w:multiLevelType w:val="multilevel"/>
    <w:tmpl w:val="71314681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46"/>
    <w:rsid w:val="00046BA7"/>
    <w:rsid w:val="00183B1B"/>
    <w:rsid w:val="002433CE"/>
    <w:rsid w:val="003C4C9D"/>
    <w:rsid w:val="00413746"/>
    <w:rsid w:val="00641D12"/>
    <w:rsid w:val="006532D5"/>
    <w:rsid w:val="006550FF"/>
    <w:rsid w:val="00795F8D"/>
    <w:rsid w:val="00A5752E"/>
    <w:rsid w:val="00A67079"/>
    <w:rsid w:val="00B56217"/>
    <w:rsid w:val="00C3354C"/>
    <w:rsid w:val="00CB0CEE"/>
    <w:rsid w:val="00D866B1"/>
    <w:rsid w:val="00DD21D8"/>
    <w:rsid w:val="00DE7071"/>
    <w:rsid w:val="00F136B0"/>
    <w:rsid w:val="00FA56BD"/>
    <w:rsid w:val="39D84FAF"/>
    <w:rsid w:val="765545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Document Map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styleId="9">
    <w:name w:val="Placeholder Text"/>
    <w:basedOn w:val="2"/>
    <w:semiHidden/>
    <w:uiPriority w:val="99"/>
    <w:rPr>
      <w:color w:val="808080"/>
    </w:rPr>
  </w:style>
  <w:style w:type="character" w:customStyle="1" w:styleId="10">
    <w:name w:val="Схема документа Знак"/>
    <w:basedOn w:val="2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656DAF-6413-423D-A3B0-3AB6D53CD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608</Words>
  <Characters>3467</Characters>
  <Lines>28</Lines>
  <Paragraphs>8</Paragraphs>
  <TotalTime>0</TotalTime>
  <ScaleCrop>false</ScaleCrop>
  <LinksUpToDate>false</LinksUpToDate>
  <CharactersWithSpaces>4067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2025-09-11T06:58:00Z</dcterms:created>
  <dc:creator>Анна Тарасова</dc:creator>
  <cp:lastModifiedBy>قومي بعمل ن</cp:lastModifiedBy>
  <dcterms:modified xsi:type="dcterms:W3CDTF">2025-09-18T10:47:36Z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08DEB376F2F740E19A41A65F3CE9405C_13</vt:lpwstr>
  </property>
</Properties>
</file>