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Merge Test</w:t>
      </w:r>
    </w:p>
    <w:p>
      <w:r>
        <w:t>This document contains a table with rowspan and colspan. markitdown flattens these incorrectly — columns shift left.</w:t>
      </w:r>
    </w:p>
    <w:p>
      <w:pPr>
        <w:pStyle w:val="Heading2"/>
      </w:pPr>
      <w:r>
        <w:t>2×2 with rowspan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  <w:vMerge w:val="restart"/>
          </w:tcPr>
          <w:p>
            <w:r>
              <w:t>A (rowspan=2)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  <w:vMerge/>
          </w:tcPr>
          <w:p/>
        </w:tc>
        <w:tc>
          <w:tcPr>
            <w:tcW w:type="dxa" w:w="4320"/>
          </w:tcPr>
          <w:p>
            <w:r>
              <w:t>200</w:t>
            </w:r>
          </w:p>
        </w:tc>
      </w:tr>
    </w:tbl>
    <w:p>
      <w:pPr>
        <w:pStyle w:val="Heading2"/>
      </w:pPr>
      <w:r>
        <w:t>3×3 with colspan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Header spanning 2 cols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A1</w:t>
            </w:r>
          </w:p>
        </w:tc>
        <w:tc>
          <w:tcPr>
            <w:tcW w:type="dxa" w:w="2880"/>
          </w:tcPr>
          <w:p>
            <w:r>
              <w:t>B1</w:t>
            </w:r>
          </w:p>
        </w:tc>
        <w:tc>
          <w:tcPr>
            <w:tcW w:type="dxa" w:w="2880"/>
          </w:tcPr>
          <w:p>
            <w:r>
              <w:t>C1</w:t>
            </w:r>
          </w:p>
        </w:tc>
      </w:tr>
      <w:tr>
        <w:tc>
          <w:tcPr>
            <w:tcW w:type="dxa" w:w="2880"/>
          </w:tcPr>
          <w:p>
            <w:r>
              <w:t>A2</w:t>
            </w:r>
          </w:p>
        </w:tc>
        <w:tc>
          <w:tcPr>
            <w:tcW w:type="dxa" w:w="2880"/>
          </w:tcPr>
          <w:p>
            <w:r>
              <w:t>B2</w:t>
            </w:r>
          </w:p>
        </w:tc>
        <w:tc>
          <w:tcPr>
            <w:tcW w:type="dxa" w:w="2880"/>
          </w:tcPr>
          <w:p>
            <w:r>
              <w:t>C2</w:t>
            </w:r>
          </w:p>
        </w:tc>
      </w:tr>
      <w:tr>
        <w:tc>
          <w:tcPr>
            <w:tcW w:type="dxa" w:w="2880"/>
          </w:tcPr>
          <w:p>
            <w:r>
              <w:t>A3</w:t>
            </w:r>
          </w:p>
        </w:tc>
        <w:tc>
          <w:tcPr>
            <w:tcW w:type="dxa" w:w="2880"/>
          </w:tcPr>
          <w:p>
            <w:r>
              <w:t>B3</w:t>
            </w:r>
          </w:p>
        </w:tc>
        <w:tc>
          <w:tcPr>
            <w:tcW w:type="dxa" w:w="2880"/>
          </w:tcPr>
          <w:p>
            <w:r>
              <w:t>C3</w:t>
            </w:r>
          </w:p>
        </w:tc>
      </w:tr>
    </w:tbl>
    <w:p>
      <w:pPr>
        <w:pStyle w:val="Heading2"/>
      </w:pPr>
      <w:r>
        <w:t>Nested structure (semantic test)</w:t>
      </w:r>
    </w:p>
    <w:p>
      <w:r>
        <w:t>Below is a table where one cell conceptually contains a sub-structure. This tests the nested_table detection path.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Voltage Range</w:t>
            </w:r>
          </w:p>
        </w:tc>
        <w:tc>
          <w:tcPr>
            <w:tcW w:type="dxa" w:w="4320"/>
          </w:tcPr>
          <w:p>
            <w:r>
              <w:t>3.3V ± 5%</w:t>
              <w:br/>
              <w:t>- Min: 3.135V</w:t>
              <w:br/>
              <w:t>- Typ: 3.300V</w:t>
              <w:br/>
              <w:t>- Max: 3.465V</w:t>
            </w:r>
          </w:p>
        </w:tc>
      </w:tr>
      <w:tr>
        <w:tc>
          <w:tcPr>
            <w:tcW w:type="dxa" w:w="4320"/>
          </w:tcPr>
          <w:p>
            <w:r>
              <w:t>Temperature</w:t>
            </w:r>
          </w:p>
        </w:tc>
        <w:tc>
          <w:tcPr>
            <w:tcW w:type="dxa" w:w="4320"/>
          </w:tcPr>
          <w:p>
            <w:r>
              <w:t>-40°C to +85°C</w:t>
              <w:br/>
              <w:t>- Storage: -55°C to +125°C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