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B6997">
      <w:pPr>
        <w:jc w:val="center"/>
        <w:rPr>
          <w:rFonts w:hint="eastAsia" w:ascii="黑体" w:hAnsi="黑体" w:eastAsia="黑体"/>
          <w:b/>
          <w:bCs/>
          <w:sz w:val="40"/>
          <w:szCs w:val="40"/>
        </w:rPr>
      </w:pPr>
      <w:bookmarkStart w:id="1" w:name="_GoBack"/>
      <w:bookmarkEnd w:id="1"/>
      <w:bookmarkStart w:id="0" w:name="_Hlk29213041"/>
      <w:r>
        <w:rPr>
          <w:rFonts w:hint="eastAsia" w:ascii="黑体" w:hAnsi="黑体" w:eastAsia="黑体"/>
          <w:b/>
          <w:bCs/>
          <w:sz w:val="40"/>
          <w:szCs w:val="40"/>
        </w:rPr>
        <w:t>发明和实用新型技术交底书-软硬结合案</w:t>
      </w:r>
    </w:p>
    <w:p w14:paraId="5EEF65AB">
      <w:pPr>
        <w:rPr>
          <w:rFonts w:ascii="黑体" w:hAnsi="黑体" w:eastAsia="黑体"/>
          <w:bCs/>
          <w:color w:val="333333"/>
          <w:sz w:val="32"/>
          <w:szCs w:val="32"/>
          <w:u w:val="wave"/>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7"/>
      </w:tblGrid>
      <w:tr w14:paraId="2A93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0714" w:hRule="atLeast"/>
        </w:trPr>
        <w:tc>
          <w:tcPr>
            <w:tcW w:w="9457" w:type="dxa"/>
            <w:tcBorders>
              <w:top w:val="double" w:color="A5A5A5" w:sz="4" w:space="0"/>
              <w:left w:val="double" w:color="A5A5A5" w:sz="4" w:space="0"/>
              <w:bottom w:val="double" w:color="A5A5A5" w:sz="4" w:space="0"/>
              <w:right w:val="double" w:color="A5A5A5" w:sz="4" w:space="0"/>
            </w:tcBorders>
            <w:noWrap w:val="0"/>
            <w:vAlign w:val="top"/>
          </w:tcPr>
          <w:p w14:paraId="62D9B569">
            <w:pPr>
              <w:spacing w:before="239" w:beforeLines="50"/>
              <w:rPr>
                <w:rFonts w:hint="eastAsia" w:ascii="黑体" w:hAnsi="黑体" w:eastAsia="黑体"/>
                <w:bCs/>
                <w:i/>
                <w:iCs/>
                <w:color w:val="333333"/>
                <w:sz w:val="28"/>
                <w:szCs w:val="28"/>
              </w:rPr>
            </w:pPr>
            <w:r>
              <w:rPr>
                <w:rFonts w:hint="eastAsia" w:ascii="黑体" w:hAnsi="黑体" w:eastAsia="黑体"/>
                <w:bCs/>
                <w:i/>
                <w:iCs/>
                <w:color w:val="333333"/>
                <w:sz w:val="28"/>
                <w:szCs w:val="28"/>
              </w:rPr>
              <w:t>在撰写技术交底资料之前请仔细阅读以下说明：</w:t>
            </w:r>
          </w:p>
          <w:p w14:paraId="544351B7">
            <w:pPr>
              <w:spacing w:before="239" w:beforeLines="50"/>
              <w:rPr>
                <w:rFonts w:hint="eastAsia" w:ascii="黑体" w:hAnsi="黑体" w:eastAsia="黑体"/>
                <w:bCs/>
                <w:color w:val="333333"/>
                <w:sz w:val="24"/>
              </w:rPr>
            </w:pPr>
            <w:r>
              <w:rPr>
                <w:rFonts w:hint="eastAsia" w:ascii="黑体" w:hAnsi="黑体" w:eastAsia="黑体"/>
                <w:bCs/>
                <w:color w:val="333333"/>
                <w:sz w:val="24"/>
              </w:rPr>
              <w:t>1.一份好的技术交底资料会节省后续大量的沟通时间，也会提高专利申请文件的撰写质量；</w:t>
            </w:r>
          </w:p>
          <w:p w14:paraId="4A52DD9D">
            <w:pPr>
              <w:spacing w:before="239" w:beforeLines="50"/>
              <w:rPr>
                <w:rFonts w:hint="eastAsia" w:ascii="黑体" w:hAnsi="黑体" w:eastAsia="黑体"/>
                <w:bCs/>
                <w:color w:val="333333"/>
                <w:sz w:val="24"/>
              </w:rPr>
            </w:pPr>
            <w:r>
              <w:rPr>
                <w:rFonts w:hint="eastAsia" w:ascii="黑体" w:hAnsi="黑体" w:eastAsia="黑体"/>
                <w:bCs/>
                <w:color w:val="333333"/>
                <w:sz w:val="24"/>
              </w:rPr>
              <w:t>2.专利法保护的是具体的技术方案，而非单纯的功能和作用，因此交底书中请尽量要给出实现某种功能或者达到某种目的的具体方案；</w:t>
            </w:r>
          </w:p>
          <w:p w14:paraId="7521E617">
            <w:pPr>
              <w:spacing w:before="239" w:beforeLines="50"/>
              <w:rPr>
                <w:rFonts w:hint="eastAsia" w:ascii="黑体" w:hAnsi="黑体" w:eastAsia="黑体"/>
                <w:bCs/>
                <w:color w:val="333333"/>
                <w:sz w:val="24"/>
              </w:rPr>
            </w:pPr>
            <w:r>
              <w:rPr>
                <w:rFonts w:hint="eastAsia" w:ascii="黑体" w:hAnsi="黑体" w:eastAsia="黑体"/>
                <w:bCs/>
                <w:color w:val="333333"/>
                <w:sz w:val="24"/>
              </w:rPr>
              <w:t>3.专利法对于“公开充分”有明确的要求，为了后续授权阶段专利的稳定性以及维权时权利有足够的解释空间，技术交底资料要尽可能详细，可将专利代理师作为研发新人看待；</w:t>
            </w:r>
          </w:p>
          <w:p w14:paraId="3C59491F">
            <w:pPr>
              <w:spacing w:before="239" w:beforeLines="50"/>
              <w:rPr>
                <w:rFonts w:hint="eastAsia" w:ascii="黑体" w:hAnsi="黑体" w:eastAsia="黑体"/>
                <w:bCs/>
                <w:color w:val="333333"/>
                <w:sz w:val="24"/>
              </w:rPr>
            </w:pPr>
            <w:r>
              <w:rPr>
                <w:rFonts w:hint="eastAsia" w:ascii="黑体" w:hAnsi="黑体" w:eastAsia="黑体"/>
                <w:bCs/>
                <w:color w:val="333333"/>
                <w:sz w:val="24"/>
              </w:rPr>
              <w:t>4. 专利法对于“清楚”有明确的要求，在技术交底资料中对于同一个被描述对象要用同一个词语来表述，不能出现前后不一致的情形；</w:t>
            </w:r>
          </w:p>
          <w:p w14:paraId="5E6E7811">
            <w:pPr>
              <w:spacing w:before="239" w:beforeLines="50"/>
              <w:rPr>
                <w:rFonts w:hint="eastAsia" w:ascii="黑体" w:hAnsi="黑体" w:eastAsia="黑体"/>
                <w:bCs/>
                <w:color w:val="333333"/>
                <w:sz w:val="24"/>
              </w:rPr>
            </w:pPr>
            <w:r>
              <w:rPr>
                <w:rFonts w:hint="eastAsia" w:ascii="黑体" w:hAnsi="黑体" w:eastAsia="黑体"/>
                <w:bCs/>
                <w:color w:val="333333"/>
                <w:sz w:val="24"/>
              </w:rPr>
              <w:t xml:space="preserve">5. 软硬结合案件同时包括有对硬件结构和控制方法的改进，基于改进的结构提供新的控制方案。例如，由传感器、控制器和驱动器组成的设备驱动系统，控制器根据传感器采集的参数进行分析判断，结合判断结果控制驱动器对设备进行驱动控制。软硬结合案件的技术交底书中可结合硬件结构图和控制流程图来进行描述，为了便于高效地沟通，不能仅有图而没有文字描述，需要有对应图的文字描述； </w:t>
            </w:r>
          </w:p>
          <w:p w14:paraId="7D541DBF">
            <w:pPr>
              <w:spacing w:before="239" w:beforeLines="50"/>
              <w:rPr>
                <w:rFonts w:hint="eastAsia" w:ascii="黑体" w:hAnsi="黑体" w:eastAsia="黑体"/>
                <w:bCs/>
                <w:color w:val="333333"/>
                <w:sz w:val="24"/>
              </w:rPr>
            </w:pPr>
            <w:r>
              <w:rPr>
                <w:rFonts w:hint="eastAsia" w:ascii="黑体" w:hAnsi="黑体" w:eastAsia="黑体"/>
                <w:bCs/>
                <w:color w:val="333333"/>
                <w:sz w:val="24"/>
              </w:rPr>
              <w:t>6. 您提供的附图专利代理师在使用时会进行适应性处理，为了提高效率，请您尽量提供可编辑的图档，例如使用visio绘制的电路图，请提供.vsd格式的原图文件；</w:t>
            </w:r>
          </w:p>
          <w:p w14:paraId="5484200A">
            <w:pPr>
              <w:spacing w:before="239" w:beforeLines="50"/>
              <w:rPr>
                <w:rFonts w:ascii="黑体" w:hAnsi="黑体" w:eastAsia="黑体"/>
                <w:bCs/>
                <w:color w:val="333333"/>
                <w:sz w:val="24"/>
              </w:rPr>
            </w:pPr>
            <w:r>
              <w:rPr>
                <w:rFonts w:hint="eastAsia" w:ascii="黑体" w:hAnsi="黑体" w:eastAsia="黑体"/>
                <w:bCs/>
                <w:color w:val="333333"/>
                <w:sz w:val="24"/>
              </w:rPr>
              <w:t>7.专利撰写过程中会存在较多技术沟通，为了确保专利的撰写质量并能按期完成，如果专利代理师请您补充必要的技术资料，请您及时补充。</w:t>
            </w:r>
          </w:p>
        </w:tc>
      </w:tr>
    </w:tbl>
    <w:p w14:paraId="3901E8D0">
      <w:pPr>
        <w:rPr>
          <w:rFonts w:ascii="黑体" w:hAnsi="黑体" w:eastAsia="黑体"/>
          <w:bCs/>
          <w:color w:val="333333"/>
          <w:sz w:val="32"/>
          <w:szCs w:val="32"/>
          <w:u w:val="wave"/>
        </w:rPr>
      </w:pPr>
    </w:p>
    <w:p w14:paraId="683D4C83">
      <w:pPr>
        <w:rPr>
          <w:rFonts w:ascii="黑体" w:hAnsi="黑体" w:eastAsia="黑体"/>
          <w:bCs/>
          <w:color w:val="333333"/>
          <w:sz w:val="32"/>
          <w:szCs w:val="32"/>
          <w:u w:val="wave"/>
        </w:rPr>
      </w:pPr>
    </w:p>
    <w:p w14:paraId="5CE75D6B">
      <w:pPr>
        <w:rPr>
          <w:rFonts w:hint="eastAsia" w:ascii="黑体" w:hAnsi="黑体" w:eastAsia="黑体"/>
          <w:bCs/>
          <w:color w:val="333333"/>
          <w:sz w:val="32"/>
          <w:szCs w:val="32"/>
          <w:u w:val="wave"/>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8"/>
        <w:gridCol w:w="283"/>
        <w:gridCol w:w="1702"/>
        <w:gridCol w:w="2550"/>
        <w:gridCol w:w="2264"/>
      </w:tblGrid>
      <w:tr w14:paraId="348D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79" w:hRule="atLeast"/>
        </w:trPr>
        <w:tc>
          <w:tcPr>
            <w:tcW w:w="9457" w:type="dxa"/>
            <w:gridSpan w:val="5"/>
            <w:tcBorders>
              <w:top w:val="double" w:color="A5A5A5" w:sz="4" w:space="0"/>
              <w:left w:val="double" w:color="A5A5A5" w:sz="4" w:space="0"/>
              <w:bottom w:val="single" w:color="A5A5A5" w:sz="4" w:space="0"/>
              <w:right w:val="double" w:color="A5A5A5" w:sz="4" w:space="0"/>
            </w:tcBorders>
            <w:shd w:val="clear" w:color="auto" w:fill="525252"/>
            <w:noWrap w:val="0"/>
            <w:vAlign w:val="center"/>
          </w:tcPr>
          <w:p w14:paraId="56E07734">
            <w:pPr>
              <w:spacing w:before="100" w:beforeAutospacing="1" w:after="100" w:afterAutospacing="1" w:line="400" w:lineRule="exact"/>
              <w:jc w:val="center"/>
              <w:rPr>
                <w:rFonts w:hint="eastAsia" w:ascii="黑体" w:hAnsi="黑体" w:eastAsia="黑体"/>
                <w:b/>
                <w:bCs/>
                <w:color w:val="FFFFFF"/>
                <w:sz w:val="32"/>
                <w:szCs w:val="32"/>
              </w:rPr>
            </w:pPr>
            <w:r>
              <w:rPr>
                <w:rFonts w:hint="eastAsia" w:ascii="黑体" w:hAnsi="黑体" w:eastAsia="黑体"/>
                <w:b/>
                <w:bCs/>
                <w:color w:val="FFFFFF"/>
                <w:sz w:val="32"/>
                <w:szCs w:val="32"/>
              </w:rPr>
              <w:t>专利申请技术交底资料表</w:t>
            </w:r>
          </w:p>
        </w:tc>
      </w:tr>
      <w:tr w14:paraId="6EE5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658" w:type="dxa"/>
            <w:tcBorders>
              <w:top w:val="double" w:color="A5A5A5" w:sz="4" w:space="0"/>
              <w:left w:val="double" w:color="A5A5A5" w:sz="4" w:space="0"/>
              <w:bottom w:val="single" w:color="A5A5A5" w:sz="4" w:space="0"/>
              <w:right w:val="single" w:color="A5A5A5" w:sz="4" w:space="0"/>
            </w:tcBorders>
            <w:noWrap w:val="0"/>
            <w:vAlign w:val="top"/>
          </w:tcPr>
          <w:p w14:paraId="7E2C37A1">
            <w:pPr>
              <w:rPr>
                <w:rFonts w:hint="eastAsia" w:ascii="黑体" w:hAnsi="黑体" w:eastAsia="黑体"/>
                <w:color w:val="333333"/>
                <w:sz w:val="24"/>
              </w:rPr>
            </w:pPr>
            <w:r>
              <w:rPr>
                <w:rFonts w:hint="eastAsia" w:ascii="黑体" w:hAnsi="黑体" w:eastAsia="黑体"/>
                <w:color w:val="333333"/>
                <w:sz w:val="24"/>
              </w:rPr>
              <w:t>专利申请案件名称</w:t>
            </w:r>
          </w:p>
        </w:tc>
        <w:tc>
          <w:tcPr>
            <w:tcW w:w="6799" w:type="dxa"/>
            <w:gridSpan w:val="4"/>
            <w:tcBorders>
              <w:top w:val="double" w:color="A5A5A5" w:sz="4" w:space="0"/>
              <w:left w:val="single" w:color="A5A5A5" w:sz="4" w:space="0"/>
              <w:bottom w:val="single" w:color="A5A5A5" w:sz="4" w:space="0"/>
              <w:right w:val="double" w:color="A5A5A5" w:sz="4" w:space="0"/>
            </w:tcBorders>
            <w:noWrap w:val="0"/>
            <w:vAlign w:val="top"/>
          </w:tcPr>
          <w:p w14:paraId="702FD79E">
            <w:pPr>
              <w:rPr>
                <w:rFonts w:hint="eastAsia" w:ascii="黑体" w:hAnsi="黑体" w:eastAsia="黑体"/>
                <w:color w:val="333333"/>
                <w:sz w:val="24"/>
              </w:rPr>
            </w:pPr>
            <w:r>
              <w:rPr>
                <w:rFonts w:ascii="微软雅黑" w:hAnsi="微软雅黑" w:eastAsia="微软雅黑"/>
                <w:b w:val="0"/>
                <w:sz w:val="19"/>
              </w:rPr>
              <w:t>一种应用于具身机器人无线充电的O-to-OXY紧凑型磁耦合器二维偏移容错无线电能传输系统及参数优化方法</w:t>
            </w:r>
          </w:p>
        </w:tc>
      </w:tr>
      <w:tr w14:paraId="0F7C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658" w:type="dxa"/>
            <w:tcBorders>
              <w:top w:val="single" w:color="A5A5A5" w:sz="4" w:space="0"/>
              <w:left w:val="double" w:color="A5A5A5" w:sz="4" w:space="0"/>
              <w:bottom w:val="single" w:color="A5A5A5" w:sz="4" w:space="0"/>
              <w:right w:val="single" w:color="A5A5A5" w:sz="4" w:space="0"/>
            </w:tcBorders>
            <w:noWrap w:val="0"/>
            <w:vAlign w:val="top"/>
          </w:tcPr>
          <w:p w14:paraId="6F0A6846">
            <w:pPr>
              <w:rPr>
                <w:rFonts w:hint="eastAsia" w:ascii="黑体" w:hAnsi="黑体" w:eastAsia="黑体"/>
                <w:color w:val="333333"/>
                <w:sz w:val="24"/>
              </w:rPr>
            </w:pPr>
            <w:r>
              <w:rPr>
                <w:rFonts w:hint="eastAsia" w:ascii="黑体" w:hAnsi="黑体" w:eastAsia="黑体"/>
                <w:color w:val="333333"/>
                <w:sz w:val="24"/>
              </w:rPr>
              <w:t>发明人</w:t>
            </w:r>
          </w:p>
        </w:tc>
        <w:tc>
          <w:tcPr>
            <w:tcW w:w="6799" w:type="dxa"/>
            <w:gridSpan w:val="4"/>
            <w:tcBorders>
              <w:top w:val="single" w:color="A5A5A5" w:sz="4" w:space="0"/>
              <w:left w:val="single" w:color="A5A5A5" w:sz="4" w:space="0"/>
              <w:bottom w:val="single" w:color="A5A5A5" w:sz="4" w:space="0"/>
              <w:right w:val="double" w:color="A5A5A5" w:sz="4" w:space="0"/>
            </w:tcBorders>
            <w:noWrap w:val="0"/>
            <w:vAlign w:val="top"/>
          </w:tcPr>
          <w:p w14:paraId="6643AE79">
            <w:pPr>
              <w:rPr>
                <w:rFonts w:hint="eastAsia" w:ascii="黑体" w:hAnsi="黑体" w:eastAsia="黑体"/>
                <w:color w:val="333333"/>
                <w:sz w:val="24"/>
              </w:rPr>
            </w:pPr>
          </w:p>
        </w:tc>
      </w:tr>
      <w:tr w14:paraId="281E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658" w:type="dxa"/>
            <w:tcBorders>
              <w:top w:val="single" w:color="A5A5A5" w:sz="4" w:space="0"/>
              <w:left w:val="double" w:color="A5A5A5" w:sz="4" w:space="0"/>
              <w:bottom w:val="single" w:color="A5A5A5" w:sz="4" w:space="0"/>
              <w:right w:val="single" w:color="A5A5A5" w:sz="4" w:space="0"/>
            </w:tcBorders>
            <w:noWrap w:val="0"/>
            <w:vAlign w:val="top"/>
          </w:tcPr>
          <w:p w14:paraId="3C6F0A29">
            <w:pPr>
              <w:rPr>
                <w:rFonts w:hint="eastAsia" w:ascii="黑体" w:hAnsi="黑体" w:eastAsia="黑体"/>
                <w:color w:val="333333"/>
                <w:sz w:val="24"/>
              </w:rPr>
            </w:pPr>
            <w:r>
              <w:rPr>
                <w:rFonts w:hint="eastAsia" w:ascii="黑体" w:hAnsi="黑体" w:eastAsia="黑体"/>
                <w:color w:val="333333"/>
                <w:sz w:val="24"/>
              </w:rPr>
              <w:t>申请人</w:t>
            </w:r>
          </w:p>
        </w:tc>
        <w:tc>
          <w:tcPr>
            <w:tcW w:w="1985" w:type="dxa"/>
            <w:gridSpan w:val="2"/>
            <w:tcBorders>
              <w:top w:val="single" w:color="A5A5A5" w:sz="4" w:space="0"/>
              <w:left w:val="single" w:color="A5A5A5" w:sz="4" w:space="0"/>
              <w:bottom w:val="single" w:color="A5A5A5" w:sz="4" w:space="0"/>
              <w:right w:val="single" w:color="A5A5A5" w:sz="4" w:space="0"/>
            </w:tcBorders>
            <w:noWrap w:val="0"/>
            <w:vAlign w:val="top"/>
          </w:tcPr>
          <w:p w14:paraId="2EF182F8">
            <w:pPr>
              <w:rPr>
                <w:rFonts w:hint="eastAsia" w:ascii="黑体" w:hAnsi="黑体" w:eastAsia="黑体"/>
                <w:color w:val="333333"/>
                <w:sz w:val="24"/>
              </w:rPr>
            </w:pPr>
          </w:p>
        </w:tc>
        <w:tc>
          <w:tcPr>
            <w:tcW w:w="2550" w:type="dxa"/>
            <w:tcBorders>
              <w:top w:val="single" w:color="A5A5A5" w:sz="4" w:space="0"/>
              <w:left w:val="single" w:color="A5A5A5" w:sz="4" w:space="0"/>
              <w:bottom w:val="single" w:color="A5A5A5" w:sz="4" w:space="0"/>
              <w:right w:val="single" w:color="A5A5A5" w:sz="4" w:space="0"/>
            </w:tcBorders>
            <w:noWrap w:val="0"/>
            <w:vAlign w:val="top"/>
          </w:tcPr>
          <w:p w14:paraId="156E69EE">
            <w:pPr>
              <w:rPr>
                <w:rFonts w:hint="eastAsia" w:ascii="黑体" w:hAnsi="黑体" w:eastAsia="黑体"/>
                <w:color w:val="333333"/>
                <w:sz w:val="24"/>
              </w:rPr>
            </w:pPr>
            <w:r>
              <w:rPr>
                <w:rFonts w:hint="eastAsia" w:ascii="黑体" w:hAnsi="黑体" w:eastAsia="黑体"/>
                <w:color w:val="333333"/>
                <w:sz w:val="24"/>
              </w:rPr>
              <w:t>技术问题联系人</w:t>
            </w:r>
          </w:p>
        </w:tc>
        <w:tc>
          <w:tcPr>
            <w:tcW w:w="2264" w:type="dxa"/>
            <w:tcBorders>
              <w:top w:val="single" w:color="A5A5A5" w:sz="4" w:space="0"/>
              <w:left w:val="single" w:color="A5A5A5" w:sz="4" w:space="0"/>
              <w:bottom w:val="single" w:color="A5A5A5" w:sz="4" w:space="0"/>
              <w:right w:val="double" w:color="A5A5A5" w:sz="4" w:space="0"/>
            </w:tcBorders>
            <w:noWrap w:val="0"/>
            <w:vAlign w:val="top"/>
          </w:tcPr>
          <w:p w14:paraId="0B9114D3">
            <w:pPr>
              <w:rPr>
                <w:rFonts w:hint="eastAsia" w:ascii="黑体" w:hAnsi="黑体" w:eastAsia="黑体"/>
                <w:color w:val="333333"/>
                <w:sz w:val="24"/>
              </w:rPr>
            </w:pPr>
          </w:p>
        </w:tc>
      </w:tr>
      <w:tr w14:paraId="3C20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658" w:type="dxa"/>
            <w:tcBorders>
              <w:top w:val="single" w:color="A5A5A5" w:sz="4" w:space="0"/>
              <w:left w:val="double" w:color="A5A5A5" w:sz="4" w:space="0"/>
              <w:bottom w:val="single" w:color="A5A5A5" w:sz="4" w:space="0"/>
              <w:right w:val="single" w:color="A5A5A5" w:sz="4" w:space="0"/>
            </w:tcBorders>
            <w:noWrap w:val="0"/>
            <w:vAlign w:val="top"/>
          </w:tcPr>
          <w:p w14:paraId="24A34C7F">
            <w:pPr>
              <w:rPr>
                <w:rFonts w:hint="eastAsia" w:ascii="黑体" w:hAnsi="黑体" w:eastAsia="黑体"/>
                <w:color w:val="333333"/>
                <w:sz w:val="24"/>
              </w:rPr>
            </w:pPr>
            <w:r>
              <w:rPr>
                <w:rFonts w:hint="eastAsia" w:ascii="黑体" w:hAnsi="黑体" w:eastAsia="黑体"/>
                <w:color w:val="333333"/>
                <w:sz w:val="24"/>
              </w:rPr>
              <w:t>技术</w:t>
            </w:r>
            <w:r>
              <w:rPr>
                <w:rFonts w:ascii="黑体" w:hAnsi="黑体" w:eastAsia="黑体"/>
                <w:color w:val="333333"/>
                <w:sz w:val="24"/>
              </w:rPr>
              <w:t>问题</w:t>
            </w:r>
            <w:r>
              <w:rPr>
                <w:rFonts w:hint="eastAsia" w:ascii="黑体" w:hAnsi="黑体" w:eastAsia="黑体"/>
                <w:color w:val="333333"/>
                <w:sz w:val="24"/>
              </w:rPr>
              <w:t>联系人电话</w:t>
            </w:r>
          </w:p>
        </w:tc>
        <w:tc>
          <w:tcPr>
            <w:tcW w:w="1985" w:type="dxa"/>
            <w:gridSpan w:val="2"/>
            <w:tcBorders>
              <w:top w:val="single" w:color="A5A5A5" w:sz="4" w:space="0"/>
              <w:left w:val="single" w:color="A5A5A5" w:sz="4" w:space="0"/>
              <w:bottom w:val="single" w:color="A5A5A5" w:sz="4" w:space="0"/>
              <w:right w:val="single" w:color="A5A5A5" w:sz="4" w:space="0"/>
            </w:tcBorders>
            <w:noWrap w:val="0"/>
            <w:vAlign w:val="top"/>
          </w:tcPr>
          <w:p w14:paraId="41AEC1F1">
            <w:pPr>
              <w:rPr>
                <w:rFonts w:hint="eastAsia" w:ascii="黑体" w:hAnsi="黑体" w:eastAsia="黑体"/>
                <w:color w:val="333333"/>
                <w:sz w:val="24"/>
              </w:rPr>
            </w:pPr>
          </w:p>
        </w:tc>
        <w:tc>
          <w:tcPr>
            <w:tcW w:w="2550" w:type="dxa"/>
            <w:tcBorders>
              <w:top w:val="single" w:color="A5A5A5" w:sz="4" w:space="0"/>
              <w:left w:val="single" w:color="A5A5A5" w:sz="4" w:space="0"/>
              <w:bottom w:val="single" w:color="A5A5A5" w:sz="4" w:space="0"/>
              <w:right w:val="single" w:color="A5A5A5" w:sz="4" w:space="0"/>
            </w:tcBorders>
            <w:noWrap w:val="0"/>
            <w:vAlign w:val="top"/>
          </w:tcPr>
          <w:p w14:paraId="121FCEBE">
            <w:pPr>
              <w:rPr>
                <w:rFonts w:hint="eastAsia" w:ascii="黑体" w:hAnsi="黑体" w:eastAsia="黑体"/>
                <w:color w:val="333333"/>
                <w:sz w:val="24"/>
              </w:rPr>
            </w:pPr>
            <w:r>
              <w:rPr>
                <w:rFonts w:hint="eastAsia" w:ascii="黑体" w:hAnsi="黑体" w:eastAsia="黑体"/>
                <w:color w:val="333333"/>
                <w:sz w:val="24"/>
              </w:rPr>
              <w:t>技术</w:t>
            </w:r>
            <w:r>
              <w:rPr>
                <w:rFonts w:ascii="黑体" w:hAnsi="黑体" w:eastAsia="黑体"/>
                <w:color w:val="333333"/>
                <w:sz w:val="24"/>
              </w:rPr>
              <w:t>问题</w:t>
            </w:r>
            <w:r>
              <w:rPr>
                <w:rFonts w:hint="eastAsia" w:ascii="黑体" w:hAnsi="黑体" w:eastAsia="黑体"/>
                <w:color w:val="333333"/>
                <w:sz w:val="24"/>
              </w:rPr>
              <w:t>联系人邮箱</w:t>
            </w:r>
          </w:p>
        </w:tc>
        <w:tc>
          <w:tcPr>
            <w:tcW w:w="2264" w:type="dxa"/>
            <w:tcBorders>
              <w:top w:val="single" w:color="A5A5A5" w:sz="4" w:space="0"/>
              <w:left w:val="single" w:color="A5A5A5" w:sz="4" w:space="0"/>
              <w:bottom w:val="single" w:color="A5A5A5" w:sz="4" w:space="0"/>
              <w:right w:val="double" w:color="A5A5A5" w:sz="4" w:space="0"/>
            </w:tcBorders>
            <w:noWrap w:val="0"/>
            <w:vAlign w:val="top"/>
          </w:tcPr>
          <w:p w14:paraId="4710E098">
            <w:pPr>
              <w:rPr>
                <w:rFonts w:hint="eastAsia" w:ascii="黑体" w:hAnsi="黑体" w:eastAsia="黑体"/>
                <w:color w:val="333333"/>
                <w:sz w:val="24"/>
              </w:rPr>
            </w:pPr>
          </w:p>
        </w:tc>
      </w:tr>
      <w:tr w14:paraId="7357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193" w:type="dxa"/>
            <w:gridSpan w:val="4"/>
            <w:tcBorders>
              <w:top w:val="single" w:color="A5A5A5" w:sz="4" w:space="0"/>
              <w:left w:val="double" w:color="A5A5A5" w:sz="4" w:space="0"/>
              <w:bottom w:val="double" w:color="A5A5A5" w:sz="4" w:space="0"/>
              <w:right w:val="single" w:color="A5A5A5" w:sz="4" w:space="0"/>
            </w:tcBorders>
            <w:noWrap w:val="0"/>
            <w:vAlign w:val="top"/>
          </w:tcPr>
          <w:p w14:paraId="21998DD9">
            <w:pPr>
              <w:rPr>
                <w:rFonts w:hint="eastAsia" w:ascii="黑体" w:hAnsi="黑体" w:eastAsia="黑体"/>
                <w:color w:val="333333"/>
                <w:sz w:val="24"/>
              </w:rPr>
            </w:pPr>
            <w:r>
              <w:rPr>
                <w:rFonts w:hint="eastAsia" w:ascii="黑体" w:hAnsi="黑体" w:eastAsia="黑体"/>
                <w:color w:val="333333"/>
                <w:sz w:val="24"/>
              </w:rPr>
              <w:t>已公开或即将公开发表与本技术相关的资料（期刊、论文、宣传册等）</w:t>
            </w:r>
          </w:p>
        </w:tc>
        <w:tc>
          <w:tcPr>
            <w:tcW w:w="2264" w:type="dxa"/>
            <w:tcBorders>
              <w:top w:val="single" w:color="A5A5A5" w:sz="4" w:space="0"/>
              <w:left w:val="single" w:color="A5A5A5" w:sz="4" w:space="0"/>
              <w:bottom w:val="double" w:color="A5A5A5" w:sz="4" w:space="0"/>
              <w:right w:val="double" w:color="A5A5A5" w:sz="4" w:space="0"/>
            </w:tcBorders>
            <w:noWrap w:val="0"/>
            <w:vAlign w:val="top"/>
          </w:tcPr>
          <w:p w14:paraId="517D9E24">
            <w:pPr>
              <w:jc w:val="center"/>
              <w:rPr>
                <w:rFonts w:hint="eastAsia" w:ascii="黑体" w:hAnsi="黑体" w:eastAsia="黑体"/>
                <w:color w:val="333333"/>
                <w:sz w:val="24"/>
              </w:rPr>
            </w:pPr>
            <w:r>
              <w:rPr>
                <w:rFonts w:ascii="黑体" w:hAnsi="黑体" w:eastAsia="黑体"/>
                <w:color w:val="333333"/>
                <w:sz w:val="24"/>
              </w:rPr>
              <w:fldChar w:fldCharType="begin">
                <w:ffData>
                  <w:enabled/>
                  <w:calcOnExit w:val="0"/>
                  <w:checkBox>
                    <w:size w:val="18"/>
                    <w:default w:val="0"/>
                    <w:checked w:val="0"/>
                  </w:checkBox>
                </w:ffData>
              </w:fldChar>
            </w:r>
            <w:r>
              <w:rPr>
                <w:rFonts w:ascii="黑体" w:hAnsi="黑体" w:eastAsia="黑体"/>
                <w:color w:val="333333"/>
                <w:sz w:val="24"/>
              </w:rPr>
              <w:instrText xml:space="preserve"> FORMCHECKBOX </w:instrText>
            </w:r>
            <w:r>
              <w:rPr>
                <w:rFonts w:ascii="黑体" w:hAnsi="黑体" w:eastAsia="黑体"/>
                <w:color w:val="333333"/>
                <w:sz w:val="24"/>
              </w:rPr>
              <w:fldChar w:fldCharType="separate"/>
            </w:r>
            <w:r>
              <w:rPr>
                <w:rFonts w:ascii="黑体" w:hAnsi="黑体" w:eastAsia="黑体"/>
                <w:color w:val="333333"/>
                <w:sz w:val="24"/>
              </w:rPr>
              <w:fldChar w:fldCharType="end"/>
            </w:r>
            <w:r>
              <w:rPr>
                <w:rFonts w:hint="eastAsia" w:ascii="黑体" w:hAnsi="黑体" w:eastAsia="黑体"/>
                <w:color w:val="333333"/>
                <w:sz w:val="24"/>
              </w:rPr>
              <w:t xml:space="preserve">是   </w:t>
            </w:r>
            <w:r>
              <w:rPr>
                <w:rFonts w:ascii="黑体" w:hAnsi="黑体" w:eastAsia="黑体"/>
                <w:color w:val="333333"/>
                <w:sz w:val="24"/>
              </w:rPr>
              <w:fldChar w:fldCharType="begin">
                <w:ffData>
                  <w:enabled/>
                  <w:calcOnExit w:val="0"/>
                  <w:checkBox>
                    <w:size w:val="18"/>
                    <w:default w:val="0"/>
                    <w:checked w:val="0"/>
                  </w:checkBox>
                </w:ffData>
              </w:fldChar>
            </w:r>
            <w:r>
              <w:rPr>
                <w:rFonts w:ascii="黑体" w:hAnsi="黑体" w:eastAsia="黑体"/>
                <w:color w:val="333333"/>
                <w:sz w:val="24"/>
              </w:rPr>
              <w:instrText xml:space="preserve"> FORMCHECKBOX </w:instrText>
            </w:r>
            <w:r>
              <w:rPr>
                <w:rFonts w:ascii="黑体" w:hAnsi="黑体" w:eastAsia="黑体"/>
                <w:color w:val="333333"/>
                <w:sz w:val="24"/>
              </w:rPr>
              <w:fldChar w:fldCharType="separate"/>
            </w:r>
            <w:r>
              <w:rPr>
                <w:rFonts w:ascii="黑体" w:hAnsi="黑体" w:eastAsia="黑体"/>
                <w:color w:val="333333"/>
                <w:sz w:val="24"/>
              </w:rPr>
              <w:fldChar w:fldCharType="end"/>
            </w:r>
            <w:r>
              <w:rPr>
                <w:rFonts w:hint="eastAsia" w:ascii="黑体" w:hAnsi="黑体" w:eastAsia="黑体"/>
                <w:color w:val="333333"/>
                <w:sz w:val="24"/>
              </w:rPr>
              <w:t>否</w:t>
            </w:r>
          </w:p>
        </w:tc>
      </w:tr>
      <w:tr w14:paraId="60F1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13701BB8">
            <w:pPr>
              <w:rPr>
                <w:rFonts w:hint="eastAsia" w:ascii="黑体" w:hAnsi="黑体" w:eastAsia="黑体"/>
                <w:color w:val="333333"/>
                <w:sz w:val="24"/>
              </w:rPr>
            </w:pPr>
            <w:r>
              <w:rPr>
                <w:rFonts w:hint="eastAsia" w:ascii="黑体" w:hAnsi="黑体" w:eastAsia="黑体"/>
                <w:color w:val="333333"/>
                <w:sz w:val="24"/>
              </w:rPr>
              <w:t>一、背景技术</w:t>
            </w:r>
          </w:p>
        </w:tc>
      </w:tr>
      <w:tr w14:paraId="60D7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118" w:hRule="atLeast"/>
        </w:trPr>
        <w:tc>
          <w:tcPr>
            <w:tcW w:w="2941" w:type="dxa"/>
            <w:gridSpan w:val="2"/>
            <w:tcBorders>
              <w:top w:val="single" w:color="A5A5A5" w:sz="4" w:space="0"/>
              <w:left w:val="double" w:color="A5A5A5" w:sz="4" w:space="0"/>
              <w:bottom w:val="single" w:color="A5A5A5" w:sz="4" w:space="0"/>
              <w:right w:val="single" w:color="A5A5A5" w:sz="4" w:space="0"/>
            </w:tcBorders>
            <w:noWrap w:val="0"/>
            <w:vAlign w:val="top"/>
          </w:tcPr>
          <w:p w14:paraId="5137BB9B">
            <w:pPr>
              <w:spacing w:line="320" w:lineRule="exact"/>
              <w:rPr>
                <w:rFonts w:hint="eastAsia" w:ascii="黑体" w:hAnsi="黑体" w:eastAsia="黑体"/>
                <w:color w:val="333333"/>
                <w:sz w:val="24"/>
              </w:rPr>
            </w:pPr>
            <w:r>
              <w:rPr>
                <w:rFonts w:ascii="黑体" w:hAnsi="黑体" w:eastAsia="黑体"/>
                <w:color w:val="333333"/>
                <w:sz w:val="24"/>
              </w:rPr>
              <w:t>1.1</w:t>
            </w:r>
            <w:r>
              <w:rPr>
                <w:rFonts w:hint="eastAsia" w:ascii="黑体" w:hAnsi="黑体" w:eastAsia="黑体"/>
                <w:color w:val="333333"/>
                <w:sz w:val="24"/>
              </w:rPr>
              <w:t>介绍</w:t>
            </w:r>
            <w:r>
              <w:rPr>
                <w:rFonts w:ascii="黑体" w:hAnsi="黑体" w:eastAsia="黑体"/>
                <w:color w:val="333333"/>
                <w:sz w:val="24"/>
              </w:rPr>
              <w:t>本技术</w:t>
            </w:r>
            <w:r>
              <w:rPr>
                <w:rFonts w:hint="eastAsia" w:ascii="黑体" w:hAnsi="黑体" w:eastAsia="黑体"/>
                <w:color w:val="333333"/>
                <w:sz w:val="24"/>
              </w:rPr>
              <w:t>方案</w:t>
            </w:r>
            <w:r>
              <w:rPr>
                <w:rFonts w:ascii="黑体" w:hAnsi="黑体" w:eastAsia="黑体"/>
                <w:color w:val="333333"/>
                <w:sz w:val="24"/>
              </w:rPr>
              <w:t>所处的技术领域</w:t>
            </w:r>
            <w:r>
              <w:rPr>
                <w:rFonts w:hint="eastAsia" w:ascii="黑体" w:hAnsi="黑体" w:eastAsia="黑体"/>
                <w:color w:val="333333"/>
                <w:sz w:val="24"/>
              </w:rPr>
              <w:t>、背景</w:t>
            </w:r>
            <w:r>
              <w:rPr>
                <w:rFonts w:ascii="黑体" w:hAnsi="黑体" w:eastAsia="黑体"/>
                <w:color w:val="333333"/>
                <w:sz w:val="24"/>
              </w:rPr>
              <w:t>以及相关技术发展</w:t>
            </w:r>
          </w:p>
        </w:tc>
        <w:tc>
          <w:tcPr>
            <w:tcW w:w="6516" w:type="dxa"/>
            <w:gridSpan w:val="3"/>
            <w:tcBorders>
              <w:top w:val="single" w:color="A5A5A5" w:sz="4" w:space="0"/>
              <w:left w:val="single" w:color="A5A5A5" w:sz="4" w:space="0"/>
              <w:bottom w:val="single" w:color="A5A5A5" w:sz="4" w:space="0"/>
              <w:right w:val="double" w:color="A5A5A5" w:sz="4" w:space="0"/>
            </w:tcBorders>
            <w:noWrap w:val="0"/>
            <w:vAlign w:val="top"/>
          </w:tcPr>
          <w:p w14:paraId="52A14973">
            <w:pPr>
              <w:ind w:firstLine="425"/>
            </w:pPr>
            <w:r>
              <w:rPr>
                <w:rFonts w:ascii="微软雅黑" w:hAnsi="微软雅黑" w:eastAsia="微软雅黑"/>
                <w:b w:val="0"/>
                <w:sz w:val="21"/>
              </w:rPr>
              <w:t>本发明涉及无线电能传输（Wireless Power Transfer, WPT）技术领域，特别涉及一种应用于具身机器人无线充电的、基于O-to-OXY紧凑型磁耦合器的二维偏移容错无线电能传输系统及参数优化方法。</w:t>
            </w:r>
          </w:p>
          <w:p w14:paraId="72312256">
            <w:pPr>
              <w:ind w:firstLine="425"/>
            </w:pPr>
            <w:r>
              <w:rPr>
                <w:rFonts w:ascii="微软雅黑" w:hAnsi="微软雅黑" w:eastAsia="微软雅黑"/>
                <w:b w:val="0"/>
                <w:sz w:val="21"/>
              </w:rPr>
              <w:t>无线电能传输技术因其绝缘性、安全性和便利性等优势，在消费电子、电动汽车充电、无人机供电以及工业无线加热与照明等领域得到广泛应用。近年来，具身机器人（Embodied Robot）在智能制造、物流仓储、家庭服务等场景中快速普及，其自主充电需求日益迫切。然而，具身机器人在自主导航返回充电站的过程中，难以实现发射线圈与接收线圈的精确对准——受地面不平整、导航定位误差、停靠姿态偏差等因素影响，线圈在横向（x方向）和纵向（y方向）均可能产生显著偏移。当线圈发生偏移时，耦合系数急剧下降，导致传输效率和输出功率显著降低，延长充电时间甚至无法完成充电，同时产生严重的磁场泄漏，对机器人本体电子设备造成潜在电磁干扰。</w:t>
            </w:r>
          </w:p>
          <w:p w14:paraId="1308077B">
            <w:pPr>
              <w:ind w:firstLine="425"/>
            </w:pPr>
            <w:r>
              <w:rPr>
                <w:rFonts w:ascii="微软雅黑" w:hAnsi="微软雅黑" w:eastAsia="微软雅黑"/>
                <w:b w:val="0"/>
                <w:sz w:val="21"/>
              </w:rPr>
              <w:t>此外，具身机器人对接收端体积和重量有严格约束：接收线圈和磁芯需要集成于机器人本体有限的空间内（如底盘、腹部等位置），且不能显著增加机器人的运动惯量和能耗。因此，WPT接收端必须同时满足紧凑轻量、偏移容错和高效传输三项苛刻要求。</w:t>
            </w:r>
          </w:p>
          <w:p w14:paraId="525B226A">
            <w:pPr>
              <w:ind w:firstLine="425"/>
            </w:pPr>
            <w:r>
              <w:rPr>
                <w:rFonts w:ascii="微软雅黑" w:hAnsi="微软雅黑" w:eastAsia="微软雅黑"/>
                <w:b w:val="0"/>
                <w:sz w:val="21"/>
              </w:rPr>
              <w:t>目前，提升WPT系统抗偏移能力的技术路线主要包括两类：新型磁耦合器设计与补偿网络优化。在磁耦合器设计方面，现有技术提出了多种线圈结构，如DD线圈、DDQ线圈和双极性线圈等，通过有意塑造磁场方向来提供一定程度的偏移容错能力。然而，多线圈结构不可避免地产生交叉耦合，干扰系统稳定性、降低传输效率并引发电磁干扰问题。现有的一种解决思路是采用正交排列的双极性线圈结构来减少交叉耦合，但该方法在发生横向或纵向偏移时失效。此外，已有研究提出平面正交接收器结构，由两个交叉偶极子接收线圈和一个圆形接收线圈组成，三个线圈天然解耦，但该结构未采用共享铁氧体设计，整体体积较大，且主要针对角度偏移而非二维平面内的横向/纵向偏移。</w:t>
            </w:r>
          </w:p>
          <w:p w14:paraId="7648FF32">
            <w:pPr>
              <w:ind w:firstLine="425"/>
            </w:pPr>
            <w:r>
              <w:rPr>
                <w:rFonts w:ascii="微软雅黑" w:hAnsi="微软雅黑" w:eastAsia="微软雅黑"/>
                <w:b w:val="0"/>
                <w:sz w:val="21"/>
              </w:rPr>
              <w:t>在补偿网络方面，LCC-S（电感-电容-电容-串联）补偿拓扑因其恒压输出特性、灵活的电压增益调节能力以及在接收端高偏移时不会在逆变器中产生过大电流等优势而被广泛采用。然而，现有LCC-S参数设计方法多基于单一对准条件进行优化，或采用粒子群优化（PSO）、NSGA-II等算法进行全系统多目标优化，计算复杂度高。针对补偿电感Lf这一关键参数，现有技术缺乏一种兼顾全偏移范围内传输效率与输入电流安全的专用优化方法。</w:t>
            </w:r>
          </w:p>
          <w:p w14:paraId="335AC718">
            <w:pPr>
              <w:spacing w:line="320" w:lineRule="exact"/>
              <w:rPr>
                <w:rFonts w:hint="eastAsia" w:ascii="黑体" w:hAnsi="黑体" w:eastAsia="黑体"/>
                <w:color w:val="333333"/>
              </w:rPr>
            </w:pPr>
            <w:r>
              <w:rPr>
                <w:rFonts w:ascii="微软雅黑" w:hAnsi="微软雅黑" w:eastAsia="微软雅黑"/>
                <w:b w:val="0"/>
                <w:sz w:val="21"/>
              </w:rPr>
              <w:t>此外，对于采用多线圈接收端的WPT系统，多个接收线圈的整流输出如何连接至负载是一个重要的设计选择。现有双接收端系统通常固定采用串联连接或并联连接中的一种，缺乏针对不同线圈结构的串/并联拓扑系统性比较与优选方法。</w:t>
            </w:r>
          </w:p>
        </w:tc>
      </w:tr>
      <w:tr w14:paraId="5FDA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93" w:hRule="atLeast"/>
        </w:trPr>
        <w:tc>
          <w:tcPr>
            <w:tcW w:w="2941" w:type="dxa"/>
            <w:gridSpan w:val="2"/>
            <w:tcBorders>
              <w:top w:val="single" w:color="A5A5A5" w:sz="4" w:space="0"/>
              <w:left w:val="double" w:color="A5A5A5" w:sz="4" w:space="0"/>
              <w:bottom w:val="single" w:color="A5A5A5" w:sz="4" w:space="0"/>
              <w:right w:val="single" w:color="A5A5A5" w:sz="4" w:space="0"/>
            </w:tcBorders>
            <w:noWrap w:val="0"/>
            <w:vAlign w:val="top"/>
          </w:tcPr>
          <w:p w14:paraId="2B1EEE1F">
            <w:pPr>
              <w:spacing w:line="320" w:lineRule="exact"/>
              <w:rPr>
                <w:rFonts w:ascii="黑体" w:hAnsi="黑体" w:eastAsia="黑体"/>
                <w:color w:val="333333"/>
                <w:sz w:val="24"/>
              </w:rPr>
            </w:pPr>
            <w:r>
              <w:rPr>
                <w:rFonts w:ascii="黑体" w:hAnsi="黑体" w:eastAsia="黑体"/>
                <w:color w:val="333333"/>
                <w:sz w:val="24"/>
              </w:rPr>
              <w:t>1.2发明最</w:t>
            </w:r>
            <w:r>
              <w:rPr>
                <w:rFonts w:hint="eastAsia" w:ascii="黑体" w:hAnsi="黑体" w:eastAsia="黑体"/>
                <w:color w:val="333333"/>
                <w:sz w:val="24"/>
              </w:rPr>
              <w:t>接近</w:t>
            </w:r>
            <w:r>
              <w:rPr>
                <w:rFonts w:ascii="黑体" w:hAnsi="黑体" w:eastAsia="黑体"/>
                <w:color w:val="333333"/>
                <w:sz w:val="24"/>
              </w:rPr>
              <w:t>的现有技术是什么？</w:t>
            </w:r>
          </w:p>
        </w:tc>
        <w:tc>
          <w:tcPr>
            <w:tcW w:w="6516" w:type="dxa"/>
            <w:gridSpan w:val="3"/>
            <w:tcBorders>
              <w:top w:val="single" w:color="A5A5A5" w:sz="4" w:space="0"/>
              <w:left w:val="single" w:color="A5A5A5" w:sz="4" w:space="0"/>
              <w:bottom w:val="single" w:color="A5A5A5" w:sz="4" w:space="0"/>
              <w:right w:val="double" w:color="A5A5A5" w:sz="4" w:space="0"/>
            </w:tcBorders>
            <w:noWrap w:val="0"/>
            <w:vAlign w:val="top"/>
          </w:tcPr>
          <w:p w14:paraId="593F24F8">
            <w:pPr>
              <w:ind w:firstLine="425"/>
            </w:pPr>
            <w:r>
              <w:rPr>
                <w:rFonts w:ascii="微软雅黑" w:hAnsi="微软雅黑" w:eastAsia="微软雅黑"/>
                <w:b w:val="0"/>
                <w:sz w:val="21"/>
              </w:rPr>
              <w:t>经全球专利库（EPO DOCDB/INPADOC，覆盖100+国家）检索，与本方案最接近的现有技术为：</w:t>
            </w:r>
          </w:p>
          <w:p w14:paraId="2D873F6D">
            <w:pPr>
              <w:ind w:firstLine="425"/>
            </w:pPr>
            <w:r>
              <w:rPr>
                <w:rFonts w:ascii="微软雅黑" w:hAnsi="微软雅黑" w:eastAsia="微软雅黑"/>
                <w:b w:val="0"/>
                <w:sz w:val="21"/>
              </w:rPr>
              <w:t>（1）CN202511618329（2026）——具有抗偏移特性的双负载自动引导车无线充电系统。该专利采用正交DD型磁耦合机构与LCC-S谐振补偿网络，发射端"外密内疏"、接收端"外疏内密"差异化绕线，配合铁氧体磁芯，实现±20cm偏移下耦合系数&gt;0.25、效率&gt;85%的稳定传输，支持双AGV并行充电。</w:t>
            </w:r>
          </w:p>
          <w:p w14:paraId="31371FCF">
            <w:pPr>
              <w:ind w:firstLine="425"/>
            </w:pPr>
            <w:r>
              <w:rPr>
                <w:rFonts w:ascii="微软雅黑" w:hAnsi="微软雅黑" w:eastAsia="微软雅黑"/>
                <w:b w:val="0"/>
                <w:sz w:val="21"/>
              </w:rPr>
              <w:t>（2）CN110829615A（2020）——一种应用于磁耦合无线充电传输系统的磁耦合机构位置自动对准方法。该专利通过互感估计判断线圈偏移状态，驱动机械调整机构实现磁耦合机构的位置自动对准，属于主动机械对准方案，不涉及线圈结构抗偏移设计。</w:t>
            </w:r>
          </w:p>
          <w:p w14:paraId="2BB5AE44">
            <w:pPr>
              <w:ind w:firstLine="425"/>
            </w:pPr>
            <w:r>
              <w:rPr>
                <w:rFonts w:ascii="微软雅黑" w:hAnsi="微软雅黑" w:eastAsia="微软雅黑"/>
                <w:b w:val="0"/>
                <w:sz w:val="21"/>
              </w:rPr>
              <w:t>注：以"embodied robot wireless charging misalignment tolerance"为关键词在全球专利库中未检索到任何直接相关的具身机器人无线充电专利，现有机器人WPT专利主要集中于AGV场景。</w:t>
            </w:r>
          </w:p>
          <w:p w14:paraId="0B35467A">
            <w:pPr>
              <w:spacing w:line="320" w:lineRule="exact"/>
              <w:rPr>
                <w:rFonts w:hint="eastAsia" w:ascii="黑体" w:hAnsi="黑体" w:eastAsia="黑体"/>
                <w:color w:val="333333"/>
              </w:rPr>
            </w:pPr>
          </w:p>
        </w:tc>
      </w:tr>
      <w:tr w14:paraId="1B78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2F306A03">
            <w:pPr>
              <w:rPr>
                <w:rFonts w:hint="eastAsia" w:ascii="黑体" w:hAnsi="黑体" w:eastAsia="黑体"/>
                <w:color w:val="333333"/>
                <w:szCs w:val="21"/>
              </w:rPr>
            </w:pPr>
            <w:r>
              <w:rPr>
                <w:rFonts w:hint="eastAsia" w:ascii="黑体" w:hAnsi="黑体" w:eastAsia="黑体"/>
                <w:color w:val="333333"/>
                <w:sz w:val="24"/>
              </w:rPr>
              <w:t>二、现有技术的技术问题</w:t>
            </w:r>
          </w:p>
        </w:tc>
      </w:tr>
      <w:tr w14:paraId="6041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133" w:hRule="atLeast"/>
        </w:trPr>
        <w:tc>
          <w:tcPr>
            <w:tcW w:w="9457" w:type="dxa"/>
            <w:gridSpan w:val="5"/>
            <w:tcBorders>
              <w:top w:val="single" w:color="A5A5A5" w:sz="4" w:space="0"/>
              <w:left w:val="double" w:color="A5A5A5" w:sz="4" w:space="0"/>
              <w:bottom w:val="double" w:color="A5A5A5" w:sz="4" w:space="0"/>
              <w:right w:val="double" w:color="A5A5A5" w:sz="4" w:space="0"/>
            </w:tcBorders>
            <w:noWrap w:val="0"/>
            <w:vAlign w:val="top"/>
          </w:tcPr>
          <w:p w14:paraId="0A2D8B1C">
            <w:pPr>
              <w:ind w:firstLine="425"/>
            </w:pPr>
            <w:r>
              <w:rPr>
                <w:rFonts w:ascii="微软雅黑" w:hAnsi="微软雅黑" w:eastAsia="微软雅黑"/>
                <w:b w:val="0"/>
                <w:sz w:val="21"/>
              </w:rPr>
              <w:t>现有技术存在以下不足：</w:t>
            </w:r>
          </w:p>
          <w:p w14:paraId="37F07100">
            <w:pPr>
              <w:ind w:firstLine="425"/>
            </w:pPr>
            <w:r>
              <w:rPr>
                <w:rFonts w:ascii="微软雅黑" w:hAnsi="微软雅黑" w:eastAsia="微软雅黑"/>
                <w:b w:val="0"/>
                <w:sz w:val="21"/>
              </w:rPr>
              <w:t>（1）缺乏一种将平面O线圈与交叉偶极子XY线圈通过共享铁氧体磁芯实现共轴堆叠的紧凑型天然解耦接收结构，以同时满足具身机器人对接收端体积、重量和偏移容错性能的苛刻要求；</w:t>
            </w:r>
          </w:p>
          <w:p w14:paraId="42EC5712">
            <w:pPr>
              <w:ind w:firstLine="425"/>
            </w:pPr>
            <w:r>
              <w:rPr>
                <w:rFonts w:ascii="微软雅黑" w:hAnsi="微软雅黑" w:eastAsia="微软雅黑"/>
                <w:b w:val="0"/>
                <w:sz w:val="21"/>
              </w:rPr>
              <w:t>（2）缺乏一种针对LCC-S补偿电感Lf的、考虑输入电流约束的遗传算法优化方法。现有技术（如CN111106676A）采用NSGA-II对线圈几何参数进行全系统多目标优化，计算复杂度高，未针对Lf这一核心敏感参数进行专项优化，也未将输入电流安全作为约束条件；</w:t>
            </w:r>
          </w:p>
          <w:p w14:paraId="4C1546E8">
            <w:pPr>
              <w:ind w:firstLine="425"/>
            </w:pPr>
            <w:r>
              <w:rPr>
                <w:rFonts w:ascii="微软雅黑" w:hAnsi="微软雅黑" w:eastAsia="微软雅黑"/>
                <w:b w:val="0"/>
                <w:sz w:val="21"/>
              </w:rPr>
              <w:t>（3）缺乏针对OXY新型线圈接收端的串联/并联双整流输出拓扑的系统性比较与优选设计。现有双接收端系统固定采用单一连接方式，未对不同拓扑在功率传输和效率方面的差异进行比较。</w:t>
            </w:r>
          </w:p>
          <w:p w14:paraId="7B164D1A">
            <w:pPr>
              <w:spacing w:line="320" w:lineRule="exact"/>
              <w:rPr>
                <w:rFonts w:hint="eastAsia" w:ascii="黑体" w:hAnsi="黑体" w:eastAsia="黑体"/>
                <w:color w:val="333333"/>
              </w:rPr>
            </w:pPr>
          </w:p>
        </w:tc>
      </w:tr>
      <w:tr w14:paraId="1776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065097A5">
            <w:pPr>
              <w:rPr>
                <w:rFonts w:hint="eastAsia" w:ascii="黑体" w:hAnsi="黑体" w:eastAsia="黑体"/>
                <w:color w:val="333333"/>
                <w:sz w:val="24"/>
              </w:rPr>
            </w:pPr>
            <w:r>
              <w:rPr>
                <w:rFonts w:hint="eastAsia" w:ascii="黑体" w:hAnsi="黑体" w:eastAsia="黑体"/>
                <w:color w:val="333333"/>
                <w:sz w:val="24"/>
              </w:rPr>
              <w:t xml:space="preserve">三、技术方案的发明点概述 </w:t>
            </w:r>
          </w:p>
        </w:tc>
      </w:tr>
      <w:tr w14:paraId="598B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611" w:hRule="atLeast"/>
        </w:trPr>
        <w:tc>
          <w:tcPr>
            <w:tcW w:w="9457" w:type="dxa"/>
            <w:gridSpan w:val="5"/>
            <w:tcBorders>
              <w:top w:val="single" w:color="A5A5A5" w:sz="4" w:space="0"/>
              <w:left w:val="double" w:color="A5A5A5" w:sz="4" w:space="0"/>
              <w:bottom w:val="single" w:color="A5A5A5" w:sz="4" w:space="0"/>
              <w:right w:val="double" w:color="A5A5A5" w:sz="4" w:space="0"/>
            </w:tcBorders>
            <w:noWrap w:val="0"/>
            <w:vAlign w:val="top"/>
          </w:tcPr>
          <w:p w14:paraId="7351B775">
            <w:pPr>
              <w:ind w:firstLine="425"/>
            </w:pPr>
            <w:r>
              <w:rPr>
                <w:rFonts w:ascii="微软雅黑" w:hAnsi="微软雅黑" w:eastAsia="微软雅黑"/>
                <w:b w:val="0"/>
                <w:sz w:val="21"/>
              </w:rPr>
              <w:t>本发明提出一种基于O-to-OXY紧凑型磁耦合器的二维偏移容错无线电能传输系统，面向具身机器人无线充电应用。核心技术方案包括三个层面：</w:t>
            </w:r>
          </w:p>
          <w:p w14:paraId="605455A0">
            <w:pPr>
              <w:ind w:firstLine="425"/>
            </w:pPr>
            <w:r>
              <w:rPr>
                <w:rFonts w:ascii="微软雅黑" w:hAnsi="微软雅黑" w:eastAsia="微软雅黑"/>
                <w:b w:val="0"/>
                <w:sz w:val="21"/>
              </w:rPr>
              <w:t>（1）磁耦合器层面：提出O-to-OXY紧凑型磁耦合器——将单个平面O线圈（Planar Spiral Coil）与单个交叉偶极子XY线圈（Crossed-Dipole Coil）共轴堆叠于共享铁氧体磁芯之上，两者天然解耦（互感M23≈0）。无偏移时由O-to-O线圈维持高耦合，偏移发生时由O-to-XY线圈捕获沿x和y方向的磁场分量补偿耦合衰减，等效互感Meq=M12+M13在全偏移范围内显著提升。共享铁氧体设计使接收端结构紧凑，满足具身机器人对体积和重量的严格约束。</w:t>
            </w:r>
          </w:p>
          <w:p w14:paraId="3DDCC2B8">
            <w:pPr>
              <w:ind w:firstLine="425"/>
            </w:pPr>
            <w:r>
              <w:rPr>
                <w:rFonts w:ascii="微软雅黑" w:hAnsi="微软雅黑" w:eastAsia="微软雅黑"/>
                <w:b w:val="0"/>
                <w:sz w:val="21"/>
              </w:rPr>
              <w:t>（2）参数优化层面：提出基于遗传算法（GA）的LCC-S补偿电感Lf约束优化方法——以全偏移范围内平均传输效率最大化为适应度函数，以逆变器输入电流不超过电源额定值为约束条件，自动搜索最优Lf值。区别于现有NSGA-II/PSO全系统多目标优化，本方法聚焦Lf单参数，工程实用性强。</w:t>
            </w:r>
          </w:p>
          <w:p w14:paraId="1A6F365A">
            <w:pPr>
              <w:spacing w:line="320" w:lineRule="exact"/>
              <w:rPr>
                <w:rFonts w:hint="eastAsia" w:ascii="黑体" w:hAnsi="黑体" w:eastAsia="黑体"/>
                <w:color w:val="333333"/>
                <w:sz w:val="24"/>
              </w:rPr>
            </w:pPr>
            <w:r>
              <w:rPr>
                <w:rFonts w:ascii="微软雅黑" w:hAnsi="微软雅黑" w:eastAsia="微软雅黑"/>
                <w:b w:val="0"/>
                <w:sz w:val="21"/>
              </w:rPr>
              <w:t>（3）拓扑设计层面：提出针对OXY接收端的串联/并联双整流输出拓扑系统性比较与优选方法——在相同条件下对两种连接方式进行全偏移范围的平均功率和效率对比，为工程选型提供明确依据</w:t>
            </w:r>
          </w:p>
        </w:tc>
      </w:tr>
      <w:tr w14:paraId="6F00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6A88A288">
            <w:pPr>
              <w:rPr>
                <w:rFonts w:hint="eastAsia" w:ascii="黑体" w:hAnsi="黑体" w:eastAsia="黑体"/>
                <w:color w:val="333333"/>
                <w:sz w:val="24"/>
              </w:rPr>
            </w:pPr>
            <w:r>
              <w:rPr>
                <w:rFonts w:hint="eastAsia" w:ascii="黑体" w:hAnsi="黑体" w:eastAsia="黑体"/>
                <w:color w:val="333333"/>
                <w:sz w:val="24"/>
              </w:rPr>
              <w:t>四、技术方案的详细阐述</w:t>
            </w:r>
          </w:p>
        </w:tc>
      </w:tr>
      <w:tr w14:paraId="722C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721" w:hRule="atLeast"/>
        </w:trPr>
        <w:tc>
          <w:tcPr>
            <w:tcW w:w="9457" w:type="dxa"/>
            <w:gridSpan w:val="5"/>
            <w:tcBorders>
              <w:top w:val="single" w:color="A5A5A5" w:sz="4" w:space="0"/>
              <w:left w:val="double" w:color="A5A5A5" w:sz="4" w:space="0"/>
              <w:bottom w:val="double" w:color="A5A5A5" w:sz="4" w:space="0"/>
              <w:right w:val="double" w:color="A5A5A5" w:sz="4" w:space="0"/>
            </w:tcBorders>
            <w:noWrap w:val="0"/>
            <w:vAlign w:val="top"/>
          </w:tcPr>
          <w:p w14:paraId="30102E28">
            <w:pPr>
              <w:pStyle w:val="3"/>
            </w:pPr>
            <w:r>
              <w:rPr>
                <w:rFonts w:ascii="微软雅黑" w:hAnsi="微软雅黑" w:eastAsia="微软雅黑"/>
                <w:sz w:val="28"/>
              </w:rPr>
              <w:t>4.1 硬件结构——O-to-OXY磁耦合器与配套电路拓扑</w:t>
            </w:r>
          </w:p>
          <w:p w14:paraId="205A217D">
            <w:pPr>
              <w:ind w:firstLine="425"/>
            </w:pPr>
            <w:r>
              <w:rPr>
                <w:rFonts w:ascii="微软雅黑" w:hAnsi="微软雅黑" w:eastAsia="微软雅黑"/>
                <w:b w:val="0"/>
                <w:sz w:val="21"/>
              </w:rPr>
              <w:t>本方案所述O-to-OXY磁耦合器包括发射端和接收端两部分：</w:t>
            </w:r>
          </w:p>
          <w:p w14:paraId="3C482FFD">
            <w:r>
              <w:rPr>
                <w:rFonts w:ascii="微软雅黑" w:hAnsi="微软雅黑" w:eastAsia="微软雅黑"/>
                <w:b/>
                <w:sz w:val="19"/>
              </w:rPr>
              <w:t>【图1】O-to-OXY磁耦合器三维结构示意图</w:t>
            </w:r>
          </w:p>
          <w:p w14:paraId="1E4F1277">
            <w:pPr>
              <w:ind w:firstLine="425"/>
            </w:pPr>
            <w:r>
              <w:rPr>
                <w:rFonts w:ascii="微软雅黑" w:hAnsi="微软雅黑" w:eastAsia="微软雅黑"/>
                <w:b w:val="0"/>
                <w:sz w:val="21"/>
              </w:rPr>
              <w:t>发射端O线圈：配置为平面螺旋线圈，外径270mm，匝数20匝，由多股利兹线（线径3mm）绕制，用于产生沿z轴方向的磁场。发射端铁氧体磁芯由四个相同的条形块（100×30×2.4mm）组成，设置于发射端O线圈下方。</w:t>
            </w:r>
          </w:p>
          <w:p w14:paraId="1F75E4BD">
            <w:pPr>
              <w:ind w:firstLine="425"/>
            </w:pPr>
            <w:r>
              <w:rPr>
                <w:rFonts w:ascii="微软雅黑" w:hAnsi="微软雅黑" w:eastAsia="微软雅黑"/>
                <w:b w:val="0"/>
                <w:sz w:val="21"/>
              </w:rPr>
              <w:t>接收端O线圈：配置为与发射端O线圈参数相同的平面螺旋线圈，用于主要捕获沿z轴方向的磁通量。</w:t>
            </w:r>
          </w:p>
          <w:p w14:paraId="079D6E82">
            <w:pPr>
              <w:ind w:firstLine="425"/>
            </w:pPr>
            <w:r>
              <w:rPr>
                <w:rFonts w:ascii="微软雅黑" w:hAnsi="微软雅黑" w:eastAsia="微软雅黑"/>
                <w:b w:val="0"/>
                <w:sz w:val="21"/>
              </w:rPr>
              <w:t>接收端XY线圈：配置为交叉偶极子线圈，包括沿x轴和y轴方向的两个矩形线圈分支（各270×30mm），匝数20匝，用于捕获沿x轴和y轴方向的磁通量。</w:t>
            </w:r>
          </w:p>
          <w:p w14:paraId="2CBF2F14">
            <w:pPr>
              <w:ind w:firstLine="425"/>
            </w:pPr>
            <w:r>
              <w:rPr>
                <w:rFonts w:ascii="微软雅黑" w:hAnsi="微软雅黑" w:eastAsia="微软雅黑"/>
                <w:b w:val="0"/>
                <w:sz w:val="21"/>
              </w:rPr>
              <w:t>接收端铁氧体磁芯：由四个相同的条形铁氧体块（100×30×2.4mm）和一个中心方形铁氧体块（30×30×2.4mm）组合而成。接收端O线圈和接收端XY线圈共轴堆叠于接收端铁氧体磁芯之上，两者共享同一铁氧体基底。</w:t>
            </w:r>
          </w:p>
          <w:p w14:paraId="270FEFDC">
            <w:r>
              <w:rPr>
                <w:rFonts w:ascii="微软雅黑" w:hAnsi="微软雅黑" w:eastAsia="微软雅黑"/>
                <w:b/>
                <w:sz w:val="19"/>
              </w:rPr>
              <w:t>【图2】O线圈与XY线圈天然解耦原理示意图：(a) O线圈单独通电时磁场分布；(b) XY线圈单独通电时磁场分布</w:t>
            </w:r>
          </w:p>
          <w:p w14:paraId="64137424">
            <w:r>
              <w:rPr>
                <w:rFonts w:ascii="微软雅黑" w:hAnsi="微软雅黑" w:eastAsia="微软雅黑"/>
                <w:b/>
                <w:sz w:val="19"/>
              </w:rPr>
              <w:t>【图3】OXY接收端线圈参数标注图及铁氧体磁芯配置图</w:t>
            </w:r>
          </w:p>
          <w:p w14:paraId="2A1B3620">
            <w:pPr>
              <w:ind w:firstLine="425"/>
            </w:pPr>
            <w:r>
              <w:rPr>
                <w:rFonts w:ascii="微软雅黑" w:hAnsi="微软雅黑" w:eastAsia="微软雅黑"/>
                <w:b w:val="0"/>
                <w:sz w:val="21"/>
              </w:rPr>
              <w:t>接收端O线圈与接收端XY线圈天然解耦——当O线圈单独通电时，其产生的磁场主要集中在垂直于线圈平面的z轴方向，磁通量净通过XY线圈的值为零；当XY线圈单独通电时，其产生的磁场主要沿平行于线圈平面的x-y方向，磁通量净通过O线圈的值为零。因此接收端O线圈与XY线圈之间的互感M23可忽略不计。</w:t>
            </w:r>
          </w:p>
          <w:p w14:paraId="74B7E519">
            <w:pPr>
              <w:ind w:firstLine="425"/>
            </w:pPr>
            <w:r>
              <w:rPr>
                <w:rFonts w:ascii="微软雅黑" w:hAnsi="微软雅黑" w:eastAsia="微软雅黑"/>
                <w:b w:val="0"/>
                <w:sz w:val="21"/>
              </w:rPr>
              <w:t>在无偏移条件下，发射端O线圈与接收端O线圈之间的互感M12维持在较高值，确保高传输效率。随着偏移距离增大，M12逐渐减小（当偏移超过140mm时因感应电流方向改变而为负值），而发射端O线圈与接收端XY线圈之间的互感M13先增大后逐渐减小，补偿M12的衰减。等效互感由下式确定：</w:t>
            </w:r>
          </w:p>
          <w:p w14:paraId="431D68B4">
            <w:r>
              <w:rPr>
                <w:rFonts w:ascii="微软雅黑" w:hAnsi="微软雅黑" w:eastAsia="微软雅黑"/>
                <w:b/>
                <w:sz w:val="19"/>
              </w:rPr>
              <w:t>【公式1】Meq = M12 + M13</w:t>
            </w:r>
          </w:p>
          <w:p w14:paraId="0298D41B">
            <w:pPr>
              <w:ind w:firstLine="425"/>
            </w:pPr>
            <w:r>
              <w:rPr>
                <w:rFonts w:ascii="微软雅黑" w:hAnsi="微软雅黑" w:eastAsia="微软雅黑"/>
                <w:b w:val="0"/>
                <w:sz w:val="21"/>
              </w:rPr>
              <w:t>在全偏移范围内Meq较M12有显著提升。</w:t>
            </w:r>
          </w:p>
          <w:p w14:paraId="3B1E62C3">
            <w:r>
              <w:rPr>
                <w:rFonts w:ascii="微软雅黑" w:hAnsi="微软雅黑" w:eastAsia="微软雅黑"/>
                <w:b/>
                <w:sz w:val="19"/>
              </w:rPr>
              <w:t>【图4】不同偏移距离下互感M12、M13及等效互感Meq的变化曲线</w:t>
            </w:r>
          </w:p>
          <w:p w14:paraId="08AD5770">
            <w:pPr>
              <w:ind w:firstLine="425"/>
            </w:pPr>
            <w:r>
              <w:rPr>
                <w:rFonts w:ascii="微软雅黑" w:hAnsi="微软雅黑" w:eastAsia="微软雅黑"/>
                <w:b w:val="0"/>
                <w:sz w:val="21"/>
              </w:rPr>
              <w:t>所述WPT系统采用LCC-S补偿拓扑，包括直流电源、H桥逆变器、LCC初级补偿网络（由补偿电感Lf、并联电容Cf和串联电容C1组成）、O-to-OXY磁耦合器、次级串联补偿电容C2和C3、以及两个二极管整流器。系统谐振频率设定为83.8kHz（符合SAE J2954标准）。</w:t>
            </w:r>
          </w:p>
          <w:p w14:paraId="480C00D0">
            <w:r>
              <w:rPr>
                <w:rFonts w:ascii="微软雅黑" w:hAnsi="微软雅黑" w:eastAsia="微软雅黑"/>
                <w:b/>
                <w:sz w:val="19"/>
              </w:rPr>
              <w:t>【图5】基于O-to-OXY磁耦合器的LCC-S补偿WPT系统电路图：(a) 串联型连接；(b) 并联型连接</w:t>
            </w:r>
          </w:p>
          <w:p w14:paraId="4D88B1E1">
            <w:pPr>
              <w:ind w:firstLine="425"/>
            </w:pPr>
            <w:r>
              <w:rPr>
                <w:rFonts w:ascii="微软雅黑" w:hAnsi="微软雅黑" w:eastAsia="微软雅黑"/>
                <w:b w:val="0"/>
                <w:sz w:val="21"/>
              </w:rPr>
              <w:t>接收端O线圈和XY线圈分别经串联补偿电容C2和C3后连接至各自的二极管整流器，整流输出可采用串联型或并联型连接至负载：</w:t>
            </w:r>
          </w:p>
          <w:p w14:paraId="548AD125">
            <w:pPr>
              <w:ind w:firstLine="425"/>
            </w:pPr>
            <w:r>
              <w:rPr>
                <w:rFonts w:ascii="微软雅黑" w:hAnsi="微软雅黑" w:eastAsia="微软雅黑"/>
                <w:b w:val="0"/>
                <w:sz w:val="21"/>
              </w:rPr>
              <w:t>串联型连接：将O线圈整流器的输出端与XY线圈整流器的输出端串联后连接至负载RL。两个整流器的输出电压叠加，O线圈和XY线圈同时向负载提供功率。</w:t>
            </w:r>
          </w:p>
          <w:p w14:paraId="3B658326">
            <w:pPr>
              <w:ind w:firstLine="425"/>
            </w:pPr>
            <w:r>
              <w:rPr>
                <w:rFonts w:ascii="微软雅黑" w:hAnsi="微软雅黑" w:eastAsia="微软雅黑"/>
                <w:b w:val="0"/>
                <w:sz w:val="21"/>
              </w:rPr>
              <w:t>并联型连接：将O线圈整流器的输出端与XY线圈整流器的输出端并联后连接至负载RL。两个整流器的输出电流合并，但仅输出电压较高的那个整流器向负载提供电压，O线圈和XY线圈交替向负载提供功率。</w:t>
            </w:r>
          </w:p>
          <w:p w14:paraId="24C5778E">
            <w:r>
              <w:rPr>
                <w:rFonts w:ascii="微软雅黑" w:hAnsi="微软雅黑" w:eastAsia="微软雅黑"/>
                <w:b/>
                <w:sz w:val="19"/>
              </w:rPr>
              <w:t>【图7】OXY接收端双整流输出拓扑对比：(a) 串联型连接；(b) 并联型连接</w:t>
            </w:r>
          </w:p>
          <w:p w14:paraId="7D6EF56B">
            <w:pPr>
              <w:pStyle w:val="3"/>
            </w:pPr>
            <w:r>
              <w:rPr>
                <w:rFonts w:ascii="微软雅黑" w:hAnsi="微软雅黑" w:eastAsia="微软雅黑"/>
                <w:sz w:val="28"/>
              </w:rPr>
              <w:t>4.2 参数优化方法——基于遗传算法的LCC-S补偿电感Lf优化</w:t>
            </w:r>
          </w:p>
          <w:p w14:paraId="593DB5C1">
            <w:pPr>
              <w:ind w:firstLine="425"/>
            </w:pPr>
            <w:r>
              <w:rPr>
                <w:rFonts w:ascii="微软雅黑" w:hAnsi="微软雅黑" w:eastAsia="微软雅黑"/>
                <w:b w:val="0"/>
                <w:sz w:val="21"/>
              </w:rPr>
              <w:t>所述补偿电感Lf的优化方法包括以下步骤：</w:t>
            </w:r>
          </w:p>
          <w:p w14:paraId="4BDD3AF8">
            <w:pPr>
              <w:ind w:firstLine="425"/>
            </w:pPr>
            <w:r>
              <w:rPr>
                <w:rFonts w:ascii="微软雅黑" w:hAnsi="微软雅黑" w:eastAsia="微软雅黑"/>
                <w:b w:val="0"/>
                <w:sz w:val="21"/>
              </w:rPr>
              <w:t>步骤一：设定已知参数，包括系统输入电压Vin、谐振频率fo、各线圈自感L1/L2/L3、线圈内阻R1/R2/R3和负载电阻RL范围。</w:t>
            </w:r>
          </w:p>
          <w:p w14:paraId="05BC2994">
            <w:pPr>
              <w:ind w:firstLine="425"/>
            </w:pPr>
            <w:r>
              <w:rPr>
                <w:rFonts w:ascii="微软雅黑" w:hAnsi="微软雅黑" w:eastAsia="微软雅黑"/>
                <w:b w:val="0"/>
                <w:sz w:val="21"/>
              </w:rPr>
              <w:t>步骤二：通过LCR测量仪获取不同偏移距离下的互感值M12和M13。</w:t>
            </w:r>
          </w:p>
          <w:p w14:paraId="5EFAC146">
            <w:pPr>
              <w:ind w:firstLine="425"/>
            </w:pPr>
            <w:r>
              <w:rPr>
                <w:rFonts w:ascii="微软雅黑" w:hAnsi="微软雅黑" w:eastAsia="微软雅黑"/>
                <w:b w:val="0"/>
                <w:sz w:val="21"/>
              </w:rPr>
              <w:t>步骤三：设定Lf的初始值为较大值（如50μH），根据系统等效电路模型计算当前Lf值下全偏移范围内各偏移点的逆变器输入电流Iin。Iin的计算基于以下公式：</w:t>
            </w:r>
          </w:p>
          <w:p w14:paraId="39B1B3AE">
            <w:r>
              <w:rPr>
                <w:rFonts w:ascii="微软雅黑" w:hAnsi="微软雅黑" w:eastAsia="微软雅黑"/>
                <w:b/>
                <w:sz w:val="19"/>
              </w:rPr>
              <w:t>【公式2】次级侧反射到初级侧的反射阻抗Zr</w:t>
            </w:r>
          </w:p>
          <w:p w14:paraId="4BF5681B">
            <w:r>
              <w:rPr>
                <w:rFonts w:ascii="微软雅黑" w:hAnsi="微软雅黑" w:eastAsia="微软雅黑"/>
                <w:b/>
                <w:sz w:val="19"/>
              </w:rPr>
              <w:t>【公式3】系统输入阻抗Zin</w:t>
            </w:r>
          </w:p>
          <w:p w14:paraId="0DEB31F1">
            <w:r>
              <w:rPr>
                <w:rFonts w:ascii="微软雅黑" w:hAnsi="微软雅黑" w:eastAsia="微软雅黑"/>
                <w:b/>
                <w:sz w:val="19"/>
              </w:rPr>
              <w:t>【公式4】初级侧与次级侧谐振条件</w:t>
            </w:r>
          </w:p>
          <w:p w14:paraId="36583BC8">
            <w:r>
              <w:rPr>
                <w:rFonts w:ascii="微软雅黑" w:hAnsi="微软雅黑" w:eastAsia="微软雅黑"/>
                <w:b/>
                <w:sz w:val="19"/>
              </w:rPr>
              <w:t>【公式5】基波近似法（FHA）逆变器输出电压Vab</w:t>
            </w:r>
          </w:p>
          <w:p w14:paraId="79A1355C">
            <w:pPr>
              <w:ind w:firstLine="425"/>
            </w:pPr>
            <w:r>
              <w:rPr>
                <w:rFonts w:ascii="微软雅黑" w:hAnsi="微软雅黑" w:eastAsia="微软雅黑"/>
                <w:b w:val="0"/>
                <w:sz w:val="21"/>
              </w:rPr>
              <w:t>步骤四：判断最大输入电流是否超出电源额定电流限值。若超出，则按预设步长减小Lf值，重复步骤三直至输入电流满足约束条件。</w:t>
            </w:r>
          </w:p>
          <w:p w14:paraId="3D3357DA">
            <w:pPr>
              <w:ind w:firstLine="425"/>
            </w:pPr>
            <w:r>
              <w:rPr>
                <w:rFonts w:ascii="微软雅黑" w:hAnsi="微软雅黑" w:eastAsia="微软雅黑"/>
                <w:b w:val="0"/>
                <w:sz w:val="21"/>
              </w:rPr>
              <w:t>步骤五：以输入电流满足约束的所有Lf候选值为搜索空间，采用遗传算法进行优化。遗传算法的适应度函数为全偏移范围内平均传输效率η_avg的最大化，表达为：</w:t>
            </w:r>
          </w:p>
          <w:p w14:paraId="65859CD2">
            <w:r>
              <w:rPr>
                <w:rFonts w:ascii="微软雅黑" w:hAnsi="微软雅黑" w:eastAsia="微软雅黑"/>
                <w:b/>
                <w:sz w:val="19"/>
              </w:rPr>
              <w:t>【公式6】遗传算法适应度函数：全偏移范围平均传输效率 η_avg</w:t>
            </w:r>
          </w:p>
          <w:p w14:paraId="58F9E777">
            <w:r>
              <w:rPr>
                <w:rFonts w:ascii="微软雅黑" w:hAnsi="微软雅黑" w:eastAsia="微软雅黑"/>
                <w:b/>
                <w:sz w:val="19"/>
              </w:rPr>
              <w:t>【公式7】串联型输出功率Pso与传输效率ηs</w:t>
            </w:r>
          </w:p>
          <w:p w14:paraId="11186284">
            <w:r>
              <w:rPr>
                <w:rFonts w:ascii="微软雅黑" w:hAnsi="微软雅黑" w:eastAsia="微软雅黑"/>
                <w:b/>
                <w:sz w:val="19"/>
              </w:rPr>
              <w:t>【公式8】并联型输出功率Ppo与传输效率ηp</w:t>
            </w:r>
          </w:p>
          <w:p w14:paraId="15115D2C">
            <w:pPr>
              <w:ind w:firstLine="425"/>
            </w:pPr>
            <w:r>
              <w:rPr>
                <w:rFonts w:ascii="微软雅黑" w:hAnsi="微软雅黑" w:eastAsia="微软雅黑"/>
                <w:b w:val="0"/>
                <w:sz w:val="21"/>
              </w:rPr>
              <w:t>遗传算法参数设置：种群规模为50，交叉概率为0.8，变异概率为0.05，最大迭代代数为100。编码方式为实数编码。</w:t>
            </w:r>
          </w:p>
          <w:p w14:paraId="7E3F4E99">
            <w:pPr>
              <w:ind w:firstLine="425"/>
            </w:pPr>
            <w:r>
              <w:rPr>
                <w:rFonts w:ascii="微软雅黑" w:hAnsi="微软雅黑" w:eastAsia="微软雅黑"/>
                <w:b w:val="0"/>
                <w:sz w:val="21"/>
              </w:rPr>
              <w:t>步骤六：输出最优Lf值，并据此根据谐振条件公式计算补偿电容Cf、C1、C2和C3的参数值。</w:t>
            </w:r>
          </w:p>
          <w:p w14:paraId="148AF485">
            <w:r>
              <w:rPr>
                <w:rFonts w:ascii="微软雅黑" w:hAnsi="微软雅黑" w:eastAsia="微软雅黑"/>
                <w:b/>
                <w:sz w:val="19"/>
              </w:rPr>
              <w:t>【图6】基于遗传算法的LCC-S补偿电感Lf优化设计流程图</w:t>
            </w:r>
          </w:p>
          <w:p w14:paraId="44DB81DE">
            <w:pPr>
              <w:ind w:firstLine="425"/>
              <w:rPr>
                <w:rFonts w:ascii="黑体" w:hAnsi="黑体" w:eastAsia="黑体"/>
                <w:color w:val="333333"/>
                <w:sz w:val="20"/>
                <w:szCs w:val="20"/>
              </w:rPr>
            </w:pPr>
            <w:r>
              <w:rPr>
                <w:rFonts w:ascii="微软雅黑" w:hAnsi="微软雅黑" w:eastAsia="微软雅黑"/>
                <w:b w:val="0"/>
                <w:sz w:val="21"/>
              </w:rPr>
              <w:t>所述优化方法的关键在于：Lf取值过大会导致初级线圈电流过大超出电源额定值，危及系统安全；Lf取值过小则传输效率在全偏移范围内显著下降。遗传算法能够在满足电流安全约束的前提下，自动搜索使全偏移范围平均效率最优的Lf值。</w:t>
            </w:r>
          </w:p>
          <w:p w14:paraId="0B5F94A9">
            <w:pPr>
              <w:spacing w:line="320" w:lineRule="exact"/>
              <w:rPr>
                <w:rFonts w:hint="eastAsia" w:ascii="黑体" w:hAnsi="黑体" w:eastAsia="黑体"/>
                <w:color w:val="333333"/>
                <w:sz w:val="20"/>
                <w:szCs w:val="20"/>
              </w:rPr>
            </w:pPr>
            <w:r>
              <w:rPr>
                <w:rFonts w:ascii="黑体" w:hAnsi="黑体" w:eastAsia="黑体"/>
                <w:color w:val="333333"/>
                <w:sz w:val="20"/>
                <w:szCs w:val="20"/>
              </w:rPr>
              <w:t xml:space="preserve">  </w:t>
            </w:r>
          </w:p>
        </w:tc>
      </w:tr>
      <w:tr w14:paraId="1BDF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5" w:hRule="atLeast"/>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54420254">
            <w:pPr>
              <w:rPr>
                <w:rFonts w:hint="eastAsia" w:ascii="黑体" w:hAnsi="黑体" w:eastAsia="黑体"/>
                <w:color w:val="333333"/>
                <w:sz w:val="24"/>
              </w:rPr>
            </w:pPr>
            <w:r>
              <w:rPr>
                <w:rFonts w:hint="eastAsia" w:ascii="黑体" w:hAnsi="黑体" w:eastAsia="黑体"/>
                <w:color w:val="333333"/>
                <w:sz w:val="24"/>
              </w:rPr>
              <w:t>五、第四项的技术手段产生了什么技术效果</w:t>
            </w:r>
          </w:p>
        </w:tc>
      </w:tr>
      <w:tr w14:paraId="40B4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864" w:hRule="atLeast"/>
        </w:trPr>
        <w:tc>
          <w:tcPr>
            <w:tcW w:w="9457" w:type="dxa"/>
            <w:gridSpan w:val="5"/>
            <w:tcBorders>
              <w:top w:val="single" w:color="A5A5A5" w:sz="4" w:space="0"/>
              <w:left w:val="double" w:color="A5A5A5" w:sz="4" w:space="0"/>
              <w:bottom w:val="single" w:color="A5A5A5" w:sz="4" w:space="0"/>
              <w:right w:val="double" w:color="A5A5A5" w:sz="4" w:space="0"/>
            </w:tcBorders>
            <w:noWrap w:val="0"/>
            <w:vAlign w:val="top"/>
          </w:tcPr>
          <w:p w14:paraId="00189505">
            <w:pPr>
              <w:ind w:firstLine="425"/>
            </w:pPr>
            <w:r>
              <w:rPr>
                <w:rFonts w:ascii="微软雅黑" w:hAnsi="微软雅黑" w:eastAsia="微软雅黑"/>
                <w:b w:val="0"/>
                <w:sz w:val="21"/>
              </w:rPr>
              <w:t>（1）通过O-to-OXY磁耦合器的共享铁氧体共轴堆叠设计，接收端结构紧凑（XY线圈叠放于O线圈上方共用铁氧体），在无偏移时O-to-O线圈维持高耦合强度，在偏移发生时O-to-XY线圈捕获沿x和y方向的磁场分量补偿耦合衰减，全偏移范围平均传输效率较传统O-to-O磁耦合器显著提升。</w:t>
            </w:r>
          </w:p>
          <w:p w14:paraId="5C11ED12">
            <w:pPr>
              <w:ind w:firstLine="425"/>
            </w:pPr>
            <w:r>
              <w:rPr>
                <w:rFonts w:ascii="微软雅黑" w:hAnsi="微软雅黑" w:eastAsia="微软雅黑"/>
                <w:b w:val="0"/>
                <w:sz w:val="21"/>
              </w:rPr>
              <w:t>（2）通过遗传算法对LCC-S补偿电感Lf进行约束优化，确保全偏移范围内逆变器输入电流始终在电源额定范围内，兼顾系统安全性与传输效率，避免因Lf取值不当导致电源过流损坏或效率大幅下降。</w:t>
            </w:r>
          </w:p>
          <w:p w14:paraId="738D1E1F">
            <w:pPr>
              <w:ind w:firstLine="425"/>
            </w:pPr>
            <w:r>
              <w:rPr>
                <w:rFonts w:ascii="微软雅黑" w:hAnsi="微软雅黑" w:eastAsia="微软雅黑"/>
                <w:b w:val="0"/>
                <w:sz w:val="21"/>
              </w:rPr>
              <w:t>（3）通过串联/并联双整流拓扑的系统性比较，确定串联型在功率传输和效率方面均优于并联型（串联型O和XY线圈同时贡献输出，并联型交替贡献），为工程应用提供明确选型依据。</w:t>
            </w:r>
          </w:p>
          <w:p w14:paraId="7C71A422">
            <w:pPr>
              <w:ind w:firstLine="425"/>
            </w:pPr>
            <w:r>
              <w:rPr>
                <w:rFonts w:ascii="微软雅黑" w:hAnsi="微软雅黑" w:eastAsia="微软雅黑"/>
                <w:b w:val="0"/>
                <w:sz w:val="21"/>
              </w:rPr>
              <w:t>（4）通过O线圈与XY线圈共享同一铁氧体基底的设计，避免了为每种线圈单独配置铁氧体磁芯所带来的额外体积和重量，使接收端在实现双线圈磁场捕获能力的同时保持紧凑轻量，特别适合安装空间和重量严格受限的具身机器人平台。</w:t>
            </w:r>
          </w:p>
          <w:p w14:paraId="712C43A9">
            <w:pPr>
              <w:rPr>
                <w:rFonts w:hint="eastAsia" w:ascii="黑体" w:hAnsi="黑体" w:eastAsia="黑体"/>
                <w:color w:val="333333"/>
                <w:sz w:val="20"/>
                <w:szCs w:val="20"/>
              </w:rPr>
            </w:pPr>
          </w:p>
        </w:tc>
      </w:tr>
      <w:tr w14:paraId="3F8F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09" w:hRule="atLeast"/>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2C8FCE3D">
            <w:pPr>
              <w:rPr>
                <w:rFonts w:hint="eastAsia" w:ascii="黑体" w:hAnsi="黑体" w:eastAsia="黑体"/>
                <w:color w:val="333333"/>
                <w:sz w:val="24"/>
              </w:rPr>
            </w:pPr>
            <w:r>
              <w:rPr>
                <w:rFonts w:hint="eastAsia" w:ascii="黑体" w:hAnsi="黑体" w:eastAsia="黑体"/>
                <w:color w:val="333333"/>
                <w:sz w:val="24"/>
              </w:rPr>
              <w:t>六、第四项的技术方案中可以替代的地方</w:t>
            </w:r>
            <w:r>
              <w:rPr>
                <w:rFonts w:hint="eastAsia" w:ascii="黑体" w:hAnsi="黑体" w:eastAsia="黑体"/>
                <w:color w:val="767171"/>
                <w:szCs w:val="21"/>
              </w:rPr>
              <w:t>（若</w:t>
            </w:r>
            <w:r>
              <w:rPr>
                <w:rFonts w:ascii="黑体" w:hAnsi="黑体" w:eastAsia="黑体"/>
                <w:color w:val="767171"/>
                <w:szCs w:val="21"/>
              </w:rPr>
              <w:t>无，</w:t>
            </w:r>
            <w:r>
              <w:rPr>
                <w:rFonts w:hint="eastAsia" w:ascii="黑体" w:hAnsi="黑体" w:eastAsia="黑体"/>
                <w:color w:val="767171"/>
                <w:szCs w:val="21"/>
              </w:rPr>
              <w:t>可不填）</w:t>
            </w:r>
          </w:p>
        </w:tc>
      </w:tr>
      <w:tr w14:paraId="6DF7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282" w:hRule="atLeast"/>
        </w:trPr>
        <w:tc>
          <w:tcPr>
            <w:tcW w:w="9457" w:type="dxa"/>
            <w:gridSpan w:val="5"/>
            <w:tcBorders>
              <w:top w:val="single" w:color="A5A5A5" w:sz="4" w:space="0"/>
              <w:left w:val="double" w:color="A5A5A5" w:sz="4" w:space="0"/>
              <w:bottom w:val="double" w:color="A5A5A5" w:sz="4" w:space="0"/>
              <w:right w:val="double" w:color="A5A5A5" w:sz="4" w:space="0"/>
            </w:tcBorders>
            <w:noWrap w:val="0"/>
            <w:vAlign w:val="top"/>
          </w:tcPr>
          <w:p w14:paraId="6ADB2512">
            <w:pPr>
              <w:spacing w:line="320" w:lineRule="exact"/>
              <w:rPr>
                <w:rFonts w:ascii="黑体" w:hAnsi="黑体" w:eastAsia="黑体"/>
                <w:color w:val="333333"/>
                <w:sz w:val="24"/>
              </w:rPr>
            </w:pPr>
          </w:p>
          <w:p w14:paraId="6575EE67">
            <w:pPr>
              <w:spacing w:line="320" w:lineRule="exact"/>
              <w:rPr>
                <w:rFonts w:hint="eastAsia" w:ascii="黑体" w:hAnsi="黑体" w:eastAsia="黑体"/>
                <w:color w:val="333333"/>
                <w:sz w:val="24"/>
              </w:rPr>
            </w:pPr>
          </w:p>
        </w:tc>
      </w:tr>
      <w:tr w14:paraId="7B24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38" w:hRule="atLeast"/>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590609E1">
            <w:pPr>
              <w:spacing w:line="240" w:lineRule="atLeast"/>
              <w:rPr>
                <w:rFonts w:ascii="黑体" w:hAnsi="黑体" w:eastAsia="黑体"/>
                <w:color w:val="333333"/>
                <w:sz w:val="24"/>
              </w:rPr>
            </w:pPr>
            <w:r>
              <w:rPr>
                <w:rFonts w:hint="eastAsia" w:ascii="黑体" w:hAnsi="黑体" w:eastAsia="黑体"/>
                <w:color w:val="333333"/>
                <w:sz w:val="24"/>
              </w:rPr>
              <w:t>七、术语解释</w:t>
            </w:r>
          </w:p>
        </w:tc>
      </w:tr>
      <w:tr w14:paraId="5E0B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364" w:hRule="atLeast"/>
        </w:trPr>
        <w:tc>
          <w:tcPr>
            <w:tcW w:w="9457" w:type="dxa"/>
            <w:gridSpan w:val="5"/>
            <w:tcBorders>
              <w:top w:val="single" w:color="A5A5A5" w:sz="4" w:space="0"/>
              <w:left w:val="double" w:color="A5A5A5" w:sz="4" w:space="0"/>
              <w:bottom w:val="double" w:color="A5A5A5" w:sz="4" w:space="0"/>
              <w:right w:val="double" w:color="A5A5A5" w:sz="4" w:space="0"/>
            </w:tcBorders>
            <w:noWrap w:val="0"/>
            <w:vAlign w:val="top"/>
          </w:tcPr>
          <w:p w14:paraId="01058810">
            <w:pPr>
              <w:spacing w:line="320" w:lineRule="exact"/>
              <w:rPr>
                <w:rFonts w:ascii="黑体" w:hAnsi="黑体" w:eastAsia="黑体"/>
                <w:color w:val="767171"/>
                <w:sz w:val="20"/>
                <w:szCs w:val="20"/>
              </w:rPr>
            </w:pPr>
            <w:r>
              <w:rPr>
                <w:rFonts w:hint="eastAsia" w:ascii="黑体" w:hAnsi="黑体" w:eastAsia="黑体"/>
                <w:color w:val="767171"/>
                <w:sz w:val="20"/>
                <w:szCs w:val="20"/>
              </w:rPr>
              <w:t>请对本交底书</w:t>
            </w:r>
            <w:r>
              <w:rPr>
                <w:rFonts w:ascii="黑体" w:hAnsi="黑体" w:eastAsia="黑体"/>
                <w:color w:val="767171"/>
                <w:sz w:val="20"/>
                <w:szCs w:val="20"/>
              </w:rPr>
              <w:t>中提及的关键</w:t>
            </w:r>
            <w:r>
              <w:rPr>
                <w:rFonts w:hint="eastAsia" w:ascii="黑体" w:hAnsi="黑体" w:eastAsia="黑体"/>
                <w:color w:val="767171"/>
                <w:sz w:val="20"/>
                <w:szCs w:val="20"/>
              </w:rPr>
              <w:t>术语</w:t>
            </w:r>
            <w:r>
              <w:rPr>
                <w:rFonts w:ascii="黑体" w:hAnsi="黑体" w:eastAsia="黑体"/>
                <w:color w:val="767171"/>
                <w:sz w:val="20"/>
                <w:szCs w:val="20"/>
              </w:rPr>
              <w:t>、</w:t>
            </w:r>
            <w:r>
              <w:rPr>
                <w:rFonts w:hint="eastAsia" w:ascii="黑体" w:hAnsi="黑体" w:eastAsia="黑体"/>
                <w:color w:val="767171"/>
                <w:sz w:val="20"/>
                <w:szCs w:val="20"/>
              </w:rPr>
              <w:t>技术</w:t>
            </w:r>
            <w:r>
              <w:rPr>
                <w:rFonts w:ascii="黑体" w:hAnsi="黑体" w:eastAsia="黑体"/>
                <w:color w:val="767171"/>
                <w:sz w:val="20"/>
                <w:szCs w:val="20"/>
              </w:rPr>
              <w:t>缩略语</w:t>
            </w:r>
            <w:r>
              <w:rPr>
                <w:rFonts w:hint="eastAsia" w:ascii="黑体" w:hAnsi="黑体" w:eastAsia="黑体"/>
                <w:color w:val="767171"/>
                <w:sz w:val="20"/>
                <w:szCs w:val="20"/>
              </w:rPr>
              <w:t>进行解释说明，如果有英文缩写，</w:t>
            </w:r>
            <w:r>
              <w:rPr>
                <w:rFonts w:ascii="黑体" w:hAnsi="黑体" w:eastAsia="黑体"/>
                <w:color w:val="767171"/>
                <w:sz w:val="20"/>
                <w:szCs w:val="20"/>
              </w:rPr>
              <w:t>必须给出</w:t>
            </w:r>
            <w:r>
              <w:rPr>
                <w:rFonts w:hint="eastAsia" w:ascii="黑体" w:hAnsi="黑体" w:eastAsia="黑体"/>
                <w:color w:val="767171"/>
                <w:sz w:val="20"/>
                <w:szCs w:val="20"/>
              </w:rPr>
              <w:t>英文</w:t>
            </w:r>
            <w:r>
              <w:rPr>
                <w:rFonts w:ascii="黑体" w:hAnsi="黑体" w:eastAsia="黑体"/>
                <w:color w:val="767171"/>
                <w:sz w:val="20"/>
                <w:szCs w:val="20"/>
              </w:rPr>
              <w:t>全称和</w:t>
            </w:r>
            <w:r>
              <w:rPr>
                <w:rFonts w:hint="eastAsia" w:ascii="黑体" w:hAnsi="黑体" w:eastAsia="黑体"/>
                <w:color w:val="767171"/>
                <w:sz w:val="20"/>
                <w:szCs w:val="20"/>
              </w:rPr>
              <w:t>中文</w:t>
            </w:r>
            <w:r>
              <w:rPr>
                <w:rFonts w:ascii="黑体" w:hAnsi="黑体" w:eastAsia="黑体"/>
                <w:color w:val="767171"/>
                <w:sz w:val="20"/>
                <w:szCs w:val="20"/>
              </w:rPr>
              <w:t>注释</w:t>
            </w:r>
            <w:r>
              <w:rPr>
                <w:rFonts w:hint="eastAsia" w:ascii="黑体" w:hAnsi="黑体" w:eastAsia="黑体"/>
                <w:color w:val="767171"/>
                <w:sz w:val="20"/>
                <w:szCs w:val="20"/>
              </w:rPr>
              <w:t>，</w:t>
            </w:r>
            <w:r>
              <w:rPr>
                <w:rFonts w:ascii="黑体" w:hAnsi="黑体" w:eastAsia="黑体"/>
                <w:color w:val="767171"/>
                <w:sz w:val="20"/>
                <w:szCs w:val="20"/>
              </w:rPr>
              <w:t>若有英文单词，必须给出</w:t>
            </w:r>
            <w:r>
              <w:rPr>
                <w:rFonts w:hint="eastAsia" w:ascii="黑体" w:hAnsi="黑体" w:eastAsia="黑体"/>
                <w:color w:val="767171"/>
                <w:sz w:val="20"/>
                <w:szCs w:val="20"/>
              </w:rPr>
              <w:t>中文注释</w:t>
            </w:r>
            <w:r>
              <w:rPr>
                <w:rFonts w:ascii="黑体" w:hAnsi="黑体" w:eastAsia="黑体"/>
                <w:color w:val="767171"/>
                <w:sz w:val="20"/>
                <w:szCs w:val="20"/>
              </w:rPr>
              <w:t>或者解释。</w:t>
            </w:r>
          </w:p>
          <w:p w14:paraId="7951BDB2">
            <w:pPr>
              <w:spacing w:line="320" w:lineRule="exact"/>
              <w:rPr>
                <w:rFonts w:ascii="黑体" w:hAnsi="黑体" w:eastAsia="黑体"/>
                <w:color w:val="333333"/>
                <w:sz w:val="24"/>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7557"/>
            </w:tblGrid>
            <w:tr w14:paraId="3D72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3525D598">
                  <w:pPr>
                    <w:spacing w:after="0" w:line="240" w:lineRule="auto"/>
                  </w:pPr>
                  <w:r>
                    <w:rPr>
                      <w:rFonts w:ascii="微软雅黑" w:hAnsi="微软雅黑" w:eastAsia="微软雅黑"/>
                      <w:b/>
                      <w:sz w:val="18"/>
                    </w:rPr>
                    <w:t>术语/缩略语</w:t>
                  </w:r>
                </w:p>
              </w:tc>
              <w:tc>
                <w:tcPr>
                  <w:tcW w:w="7654" w:type="dxa"/>
                  <w:noWrap w:val="0"/>
                  <w:vAlign w:val="top"/>
                </w:tcPr>
                <w:p w14:paraId="398AAB25">
                  <w:pPr>
                    <w:spacing w:after="0" w:line="240" w:lineRule="auto"/>
                  </w:pPr>
                  <w:r>
                    <w:rPr>
                      <w:rFonts w:ascii="微软雅黑" w:hAnsi="微软雅黑" w:eastAsia="微软雅黑"/>
                      <w:b/>
                      <w:sz w:val="18"/>
                    </w:rPr>
                    <w:t>解释说明</w:t>
                  </w:r>
                </w:p>
              </w:tc>
            </w:tr>
            <w:tr w14:paraId="452D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47EEEBB1">
                  <w:pPr>
                    <w:spacing w:after="0" w:line="240" w:lineRule="auto"/>
                  </w:pPr>
                  <w:r>
                    <w:rPr>
                      <w:rFonts w:ascii="微软雅黑" w:hAnsi="微软雅黑" w:eastAsia="微软雅黑"/>
                      <w:b w:val="0"/>
                      <w:sz w:val="18"/>
                    </w:rPr>
                    <w:t>WPT</w:t>
                  </w:r>
                </w:p>
              </w:tc>
              <w:tc>
                <w:tcPr>
                  <w:tcW w:w="7654" w:type="dxa"/>
                  <w:noWrap w:val="0"/>
                  <w:vAlign w:val="top"/>
                </w:tcPr>
                <w:p w14:paraId="7CCC52B3">
                  <w:pPr>
                    <w:spacing w:after="0" w:line="240" w:lineRule="auto"/>
                  </w:pPr>
                  <w:r>
                    <w:rPr>
                      <w:rFonts w:ascii="微软雅黑" w:hAnsi="微软雅黑" w:eastAsia="微软雅黑"/>
                      <w:b w:val="0"/>
                      <w:sz w:val="18"/>
                    </w:rPr>
                    <w:t>Wireless Power Transfer，无线电能传输</w:t>
                  </w:r>
                </w:p>
              </w:tc>
            </w:tr>
            <w:tr w14:paraId="315A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3CBC382F">
                  <w:pPr>
                    <w:spacing w:after="0" w:line="240" w:lineRule="auto"/>
                  </w:pPr>
                  <w:r>
                    <w:rPr>
                      <w:rFonts w:ascii="微软雅黑" w:hAnsi="微软雅黑" w:eastAsia="微软雅黑"/>
                      <w:b w:val="0"/>
                      <w:sz w:val="18"/>
                    </w:rPr>
                    <w:t>LCC-S</w:t>
                  </w:r>
                </w:p>
              </w:tc>
              <w:tc>
                <w:tcPr>
                  <w:tcW w:w="7654" w:type="dxa"/>
                  <w:noWrap w:val="0"/>
                  <w:vAlign w:val="top"/>
                </w:tcPr>
                <w:p w14:paraId="55736918">
                  <w:pPr>
                    <w:spacing w:after="0" w:line="240" w:lineRule="auto"/>
                  </w:pPr>
                  <w:r>
                    <w:rPr>
                      <w:rFonts w:ascii="微软雅黑" w:hAnsi="微软雅黑" w:eastAsia="微软雅黑"/>
                      <w:b w:val="0"/>
                      <w:sz w:val="18"/>
                    </w:rPr>
                    <w:t>Inductance-Capacitance-Capacitance-Series，电感-电容-电容-串联补偿拓扑</w:t>
                  </w:r>
                </w:p>
              </w:tc>
            </w:tr>
            <w:tr w14:paraId="6EA3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47B0762C">
                  <w:pPr>
                    <w:spacing w:after="0" w:line="240" w:lineRule="auto"/>
                  </w:pPr>
                  <w:r>
                    <w:rPr>
                      <w:rFonts w:ascii="微软雅黑" w:hAnsi="微软雅黑" w:eastAsia="微软雅黑"/>
                      <w:b w:val="0"/>
                      <w:sz w:val="18"/>
                    </w:rPr>
                    <w:t>GA</w:t>
                  </w:r>
                </w:p>
              </w:tc>
              <w:tc>
                <w:tcPr>
                  <w:tcW w:w="7654" w:type="dxa"/>
                  <w:noWrap w:val="0"/>
                  <w:vAlign w:val="top"/>
                </w:tcPr>
                <w:p w14:paraId="477DD10F">
                  <w:pPr>
                    <w:spacing w:after="0" w:line="240" w:lineRule="auto"/>
                  </w:pPr>
                  <w:r>
                    <w:rPr>
                      <w:rFonts w:ascii="微软雅黑" w:hAnsi="微软雅黑" w:eastAsia="微软雅黑"/>
                      <w:b w:val="0"/>
                      <w:sz w:val="18"/>
                    </w:rPr>
                    <w:t>Genetic Algorithm，遗传算法</w:t>
                  </w:r>
                </w:p>
              </w:tc>
            </w:tr>
            <w:tr w14:paraId="1799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71C8C120">
                  <w:pPr>
                    <w:spacing w:after="0" w:line="240" w:lineRule="auto"/>
                  </w:pPr>
                  <w:r>
                    <w:rPr>
                      <w:rFonts w:ascii="微软雅黑" w:hAnsi="微软雅黑" w:eastAsia="微软雅黑"/>
                      <w:b w:val="0"/>
                      <w:sz w:val="18"/>
                    </w:rPr>
                    <w:t>O线圈</w:t>
                  </w:r>
                </w:p>
              </w:tc>
              <w:tc>
                <w:tcPr>
                  <w:tcW w:w="7654" w:type="dxa"/>
                  <w:noWrap w:val="0"/>
                  <w:vAlign w:val="top"/>
                </w:tcPr>
                <w:p w14:paraId="19BE4B0C">
                  <w:pPr>
                    <w:spacing w:after="0" w:line="240" w:lineRule="auto"/>
                  </w:pPr>
                  <w:r>
                    <w:rPr>
                      <w:rFonts w:ascii="微软雅黑" w:hAnsi="微软雅黑" w:eastAsia="微软雅黑"/>
                      <w:b w:val="0"/>
                      <w:sz w:val="18"/>
                    </w:rPr>
                    <w:t>平面螺旋线圈（Planar Spiral Coil），磁场方向垂直于线圈平面的圆形线圈</w:t>
                  </w:r>
                </w:p>
              </w:tc>
            </w:tr>
            <w:tr w14:paraId="3742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5BDD8564">
                  <w:pPr>
                    <w:spacing w:after="0" w:line="240" w:lineRule="auto"/>
                  </w:pPr>
                  <w:r>
                    <w:rPr>
                      <w:rFonts w:ascii="微软雅黑" w:hAnsi="微软雅黑" w:eastAsia="微软雅黑"/>
                      <w:b w:val="0"/>
                      <w:sz w:val="18"/>
                    </w:rPr>
                    <w:t>XY线圈</w:t>
                  </w:r>
                </w:p>
              </w:tc>
              <w:tc>
                <w:tcPr>
                  <w:tcW w:w="7654" w:type="dxa"/>
                  <w:noWrap w:val="0"/>
                  <w:vAlign w:val="top"/>
                </w:tcPr>
                <w:p w14:paraId="0D96C842">
                  <w:pPr>
                    <w:spacing w:after="0" w:line="240" w:lineRule="auto"/>
                  </w:pPr>
                  <w:r>
                    <w:rPr>
                      <w:rFonts w:ascii="微软雅黑" w:hAnsi="微软雅黑" w:eastAsia="微软雅黑"/>
                      <w:b w:val="0"/>
                      <w:sz w:val="18"/>
                    </w:rPr>
                    <w:t>交叉偶极子线圈（Crossed-Dipole Coil），由沿x轴和y轴方向的两个矩形线圈分支正交组成</w:t>
                  </w:r>
                </w:p>
              </w:tc>
            </w:tr>
            <w:tr w14:paraId="4848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494F4CAE">
                  <w:pPr>
                    <w:spacing w:after="0" w:line="240" w:lineRule="auto"/>
                  </w:pPr>
                  <w:r>
                    <w:rPr>
                      <w:rFonts w:ascii="微软雅黑" w:hAnsi="微软雅黑" w:eastAsia="微软雅黑"/>
                      <w:b w:val="0"/>
                      <w:sz w:val="18"/>
                    </w:rPr>
                    <w:t>Meq</w:t>
                  </w:r>
                </w:p>
              </w:tc>
              <w:tc>
                <w:tcPr>
                  <w:tcW w:w="7654" w:type="dxa"/>
                  <w:noWrap w:val="0"/>
                  <w:vAlign w:val="top"/>
                </w:tcPr>
                <w:p w14:paraId="57BA4C33">
                  <w:pPr>
                    <w:spacing w:after="0" w:line="240" w:lineRule="auto"/>
                  </w:pPr>
                  <w:r>
                    <w:rPr>
                      <w:rFonts w:ascii="微软雅黑" w:hAnsi="微软雅黑" w:eastAsia="微软雅黑"/>
                      <w:b w:val="0"/>
                      <w:sz w:val="18"/>
                    </w:rPr>
                    <w:t>等效互感（Equivalent Mutual Inductance），为O-to-O互感M12与O-to-XY互感M13之和</w:t>
                  </w:r>
                </w:p>
              </w:tc>
            </w:tr>
            <w:tr w14:paraId="3A5D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2044D0A3">
                  <w:pPr>
                    <w:spacing w:after="0" w:line="240" w:lineRule="auto"/>
                  </w:pPr>
                  <w:r>
                    <w:rPr>
                      <w:rFonts w:ascii="微软雅黑" w:hAnsi="微软雅黑" w:eastAsia="微软雅黑"/>
                      <w:b w:val="0"/>
                      <w:sz w:val="18"/>
                    </w:rPr>
                    <w:t>FHA</w:t>
                  </w:r>
                </w:p>
              </w:tc>
              <w:tc>
                <w:tcPr>
                  <w:tcW w:w="7654" w:type="dxa"/>
                  <w:noWrap w:val="0"/>
                  <w:vAlign w:val="top"/>
                </w:tcPr>
                <w:p w14:paraId="07D03854">
                  <w:pPr>
                    <w:spacing w:after="0" w:line="240" w:lineRule="auto"/>
                  </w:pPr>
                  <w:r>
                    <w:rPr>
                      <w:rFonts w:ascii="微软雅黑" w:hAnsi="微软雅黑" w:eastAsia="微软雅黑"/>
                      <w:b w:val="0"/>
                      <w:sz w:val="18"/>
                    </w:rPr>
                    <w:t>Fundamental Harmonic Approximation，基波近似法，用于逆变器输出电压的基波分量计算</w:t>
                  </w:r>
                </w:p>
              </w:tc>
            </w:tr>
            <w:tr w14:paraId="2143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top"/>
                </w:tcPr>
                <w:p w14:paraId="262E9879">
                  <w:pPr>
                    <w:spacing w:after="0" w:line="240" w:lineRule="auto"/>
                  </w:pPr>
                  <w:r>
                    <w:rPr>
                      <w:rFonts w:ascii="微软雅黑" w:hAnsi="微软雅黑" w:eastAsia="微软雅黑"/>
                      <w:b w:val="0"/>
                      <w:sz w:val="18"/>
                    </w:rPr>
                    <w:t>ZPA</w:t>
                  </w:r>
                </w:p>
              </w:tc>
              <w:tc>
                <w:tcPr>
                  <w:tcW w:w="7654" w:type="dxa"/>
                  <w:noWrap w:val="0"/>
                  <w:vAlign w:val="top"/>
                </w:tcPr>
                <w:p w14:paraId="6F84B094">
                  <w:pPr>
                    <w:spacing w:after="0" w:line="240" w:lineRule="auto"/>
                  </w:pPr>
                  <w:r>
                    <w:rPr>
                      <w:rFonts w:ascii="微软雅黑" w:hAnsi="微软雅黑" w:eastAsia="微软雅黑"/>
                      <w:b w:val="0"/>
                      <w:sz w:val="18"/>
                    </w:rPr>
                    <w:t>Zero Phase Angle，零相位角，逆变器电压与电流同相的运行状态</w:t>
                  </w:r>
                </w:p>
              </w:tc>
            </w:tr>
          </w:tbl>
          <w:p w14:paraId="16560BC8">
            <w:pPr>
              <w:spacing w:line="320" w:lineRule="exact"/>
              <w:rPr>
                <w:rFonts w:ascii="黑体" w:hAnsi="黑体" w:eastAsia="黑体"/>
                <w:color w:val="333333"/>
                <w:sz w:val="24"/>
              </w:rPr>
            </w:pPr>
          </w:p>
        </w:tc>
      </w:tr>
      <w:tr w14:paraId="54955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7" w:hRule="atLeast"/>
        </w:trPr>
        <w:tc>
          <w:tcPr>
            <w:tcW w:w="9457" w:type="dxa"/>
            <w:gridSpan w:val="5"/>
            <w:tcBorders>
              <w:top w:val="double" w:color="A5A5A5" w:sz="4" w:space="0"/>
              <w:left w:val="double" w:color="A5A5A5" w:sz="4" w:space="0"/>
              <w:bottom w:val="single" w:color="A5A5A5" w:sz="4" w:space="0"/>
              <w:right w:val="double" w:color="A5A5A5" w:sz="4" w:space="0"/>
            </w:tcBorders>
            <w:noWrap w:val="0"/>
            <w:vAlign w:val="top"/>
          </w:tcPr>
          <w:p w14:paraId="7E8BB64A">
            <w:pPr>
              <w:wordWrap w:val="0"/>
              <w:rPr>
                <w:rFonts w:hint="eastAsia" w:ascii="黑体" w:hAnsi="黑体" w:eastAsia="黑体"/>
                <w:color w:val="333333"/>
                <w:sz w:val="24"/>
              </w:rPr>
            </w:pPr>
            <w:r>
              <w:rPr>
                <w:rFonts w:hint="eastAsia" w:ascii="黑体" w:hAnsi="黑体" w:eastAsia="黑体"/>
                <w:color w:val="333333"/>
                <w:sz w:val="24"/>
              </w:rPr>
              <w:t>八</w:t>
            </w:r>
            <w:r>
              <w:rPr>
                <w:rFonts w:ascii="黑体" w:hAnsi="黑体" w:eastAsia="黑体"/>
                <w:color w:val="333333"/>
                <w:sz w:val="24"/>
              </w:rPr>
              <w:t>、参考文献</w:t>
            </w:r>
          </w:p>
        </w:tc>
      </w:tr>
      <w:tr w14:paraId="1685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432" w:hRule="atLeast"/>
        </w:trPr>
        <w:tc>
          <w:tcPr>
            <w:tcW w:w="9457" w:type="dxa"/>
            <w:gridSpan w:val="5"/>
            <w:tcBorders>
              <w:top w:val="single" w:color="A5A5A5" w:sz="4" w:space="0"/>
              <w:left w:val="double" w:color="A5A5A5" w:sz="4" w:space="0"/>
              <w:bottom w:val="double" w:color="A5A5A5" w:sz="4" w:space="0"/>
              <w:right w:val="double" w:color="A5A5A5" w:sz="4" w:space="0"/>
            </w:tcBorders>
            <w:noWrap w:val="0"/>
            <w:vAlign w:val="top"/>
          </w:tcPr>
          <w:p w14:paraId="1E926221">
            <w:pPr>
              <w:spacing w:line="320" w:lineRule="exact"/>
              <w:rPr>
                <w:rFonts w:ascii="黑体" w:hAnsi="黑体" w:eastAsia="黑体"/>
                <w:color w:val="767171"/>
                <w:sz w:val="20"/>
                <w:szCs w:val="20"/>
              </w:rPr>
            </w:pPr>
            <w:r>
              <w:rPr>
                <w:rFonts w:ascii="黑体" w:hAnsi="黑体" w:eastAsia="黑体"/>
                <w:color w:val="767171"/>
                <w:sz w:val="20"/>
                <w:szCs w:val="20"/>
              </w:rPr>
              <w:t>（对于理解交底书中的技术方案有帮助的</w:t>
            </w:r>
            <w:r>
              <w:rPr>
                <w:rFonts w:ascii="黑体" w:hAnsi="黑体" w:eastAsia="黑体"/>
                <w:b/>
                <w:bCs/>
                <w:color w:val="767171"/>
                <w:sz w:val="20"/>
                <w:szCs w:val="20"/>
              </w:rPr>
              <w:t>专利/论文/期刊</w:t>
            </w:r>
            <w:r>
              <w:rPr>
                <w:rFonts w:ascii="黑体" w:hAnsi="黑体" w:eastAsia="黑体"/>
                <w:color w:val="767171"/>
                <w:sz w:val="20"/>
                <w:szCs w:val="20"/>
              </w:rPr>
              <w:t>，如有则填写）</w:t>
            </w:r>
          </w:p>
          <w:p w14:paraId="3C1F04D2">
            <w:pPr>
              <w:ind w:firstLine="425"/>
            </w:pPr>
            <w:r>
              <w:rPr>
                <w:rFonts w:ascii="微软雅黑" w:hAnsi="微软雅黑" w:eastAsia="微软雅黑"/>
                <w:b w:val="0"/>
                <w:sz w:val="21"/>
              </w:rPr>
              <w:t>[1] CN202511618329 (2026) — 具有抗偏移特性的双负载自动引导车无线充电系统。采用正交DD型磁耦合机构与LCC-S谐振补偿网络。</w:t>
            </w:r>
          </w:p>
          <w:p w14:paraId="20ED4E2F">
            <w:pPr>
              <w:ind w:firstLine="425"/>
            </w:pPr>
            <w:r>
              <w:rPr>
                <w:rFonts w:ascii="微软雅黑" w:hAnsi="微软雅黑" w:eastAsia="微软雅黑"/>
                <w:b w:val="0"/>
                <w:sz w:val="21"/>
              </w:rPr>
              <w:t>[2] CN110829615A (2020) — 一种应用于磁耦合无线充电传输系统的磁耦合机构位置自动对准方法。哈尔滨工业大学。</w:t>
            </w:r>
          </w:p>
          <w:p w14:paraId="45AB1367">
            <w:pPr>
              <w:spacing w:line="320" w:lineRule="exact"/>
              <w:rPr>
                <w:rFonts w:hint="eastAsia" w:ascii="黑体" w:hAnsi="黑体" w:eastAsia="黑体"/>
                <w:color w:val="333333"/>
                <w:sz w:val="20"/>
                <w:szCs w:val="20"/>
              </w:rPr>
            </w:pPr>
          </w:p>
        </w:tc>
      </w:tr>
      <w:bookmarkEnd w:id="0"/>
    </w:tbl>
    <w:p w14:paraId="673BED9A">
      <w:pPr>
        <w:rPr>
          <w:rFonts w:hint="eastAsia" w:ascii="黑体" w:hAnsi="黑体" w:eastAsia="黑体"/>
        </w:rPr>
      </w:pPr>
    </w:p>
    <w:sectPr>
      <w:headerReference r:id="rId5" w:type="first"/>
      <w:headerReference r:id="rId3" w:type="default"/>
      <w:footerReference r:id="rId6" w:type="default"/>
      <w:headerReference r:id="rId4" w:type="even"/>
      <w:pgSz w:w="11906" w:h="16838"/>
      <w:pgMar w:top="1671" w:right="1134" w:bottom="716" w:left="1531" w:header="851" w:footer="992" w:gutter="0"/>
      <w:cols w:space="720" w:num="1"/>
      <w:docGrid w:type="linesAndChars" w:linePitch="479" w:charSpace="-9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方正综艺简体">
    <w:altName w:val="微软雅黑"/>
    <w:panose1 w:val="03000509000000000000"/>
    <w:charset w:val="86"/>
    <w:family w:val="script"/>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Eras Demi ITC">
    <w:altName w:val="Yu Gothic UI Semibold"/>
    <w:panose1 w:val="020B0805030504020804"/>
    <w:charset w:val="00"/>
    <w:family w:val="swiss"/>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Yu Gothic UI Semibold">
    <w:panose1 w:val="020B07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47204">
    <w:pPr>
      <w:pStyle w:val="8"/>
      <w:jc w:val="center"/>
    </w:pPr>
    <w:r>
      <w:fldChar w:fldCharType="begin"/>
    </w:r>
    <w:r>
      <w:instrText xml:space="preserve">PAGE   \* MERGEFORMAT</w:instrText>
    </w:r>
    <w:r>
      <w:fldChar w:fldCharType="separate"/>
    </w:r>
    <w:r>
      <w:rPr>
        <w:lang w:val="zh-CN"/>
      </w:rPr>
      <w:t>2</w:t>
    </w:r>
    <w:r>
      <w:fldChar w:fldCharType="end"/>
    </w:r>
  </w:p>
  <w:p w14:paraId="3444230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DAECB">
    <w:pPr>
      <w:ind w:right="840"/>
      <w:rPr>
        <w:rFonts w:ascii="黑体" w:hAnsi="黑体" w:eastAsia="黑体"/>
        <w:color w:val="333333"/>
      </w:rPr>
    </w:pPr>
    <w:r>
      <w:rPr>
        <w:rFonts w:hint="eastAsia" w:ascii="黑体" w:hAnsi="黑体" w:eastAsia="黑体"/>
        <w:color w:val="333333"/>
      </w:rPr>
      <w:t xml:space="preserve"> </w:t>
    </w:r>
    <w:r>
      <w:rPr>
        <w:rFonts w:ascii="黑体" w:hAnsi="黑体" w:eastAsia="黑体"/>
        <w:color w:val="333333"/>
      </w:rPr>
      <w:t xml:space="preserve"> </w:t>
    </w:r>
  </w:p>
  <w:p w14:paraId="28276C2A">
    <w:pPr>
      <w:jc w:val="right"/>
      <w:rPr>
        <w:rFonts w:ascii="黑体" w:hAnsi="黑体" w:eastAsia="黑体"/>
        <w:color w:val="333333"/>
      </w:rPr>
    </w:pPr>
    <w:r>
      <w:pict>
        <v:shape id="_x0000_i1025" o:spt="75" type="#_x0000_t75" style="height:17.45pt;width:102.7pt;" filled="f" stroked="f" coordsize="21600,21600">
          <v:path/>
          <v:fill on="f" focussize="0,0"/>
          <v:stroke on="f"/>
          <v:imagedata r:id="rId1" o:title=""/>
          <o:lock v:ext="edit" aspectratio="t"/>
          <w10:wrap type="none"/>
          <w10:anchorlock/>
        </v:shape>
      </w:pict>
    </w:r>
    <w:r>
      <w:rPr>
        <w:lang/>
      </w:rPr>
      <w:pict>
        <v:shape id="PowerPlusWaterMarkObject36258658" o:spid="_x0000_s2052" o:spt="136" type="#_x0000_t136" style="position:absolute;left:0pt;height:217.15pt;width:434.3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ACIP" style="font-family:方正黑体_GBK;font-size:8pt;v-same-letter-heights:f;v-text-align:center;"/>
        </v:shape>
      </w:pict>
    </w:r>
    <w:r>
      <w:t xml:space="preserve">                                                       </w:t>
    </w:r>
    <w:r>
      <w:rPr>
        <w:rFonts w:ascii="Eras Demi ITC" w:hAnsi="Eras Demi ITC"/>
        <w:sz w:val="24"/>
      </w:rPr>
      <w:t>confidential</w:t>
    </w:r>
  </w:p>
  <w:p w14:paraId="3436AA6B">
    <w:pPr>
      <w:ind w:right="8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7D2A9">
    <w:pPr>
      <w:pStyle w:val="9"/>
      <w:pBdr>
        <w:bottom w:val="none" w:color="auto" w:sz="0" w:space="0"/>
      </w:pBdr>
    </w:pPr>
    <w:r>
      <w:rPr>
        <w:lang/>
      </w:rPr>
      <w:pict>
        <v:shape id="PowerPlusWaterMarkObject36258657" o:spid="_x0000_s2050" o:spt="136" type="#_x0000_t136" style="position:absolute;left:0pt;height:217.15pt;width:434.3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ACIP" style="font-family:方正黑体_GBK;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E5B3D">
    <w:pPr>
      <w:pStyle w:val="9"/>
    </w:pPr>
    <w:r>
      <w:rPr>
        <w:lang/>
      </w:rPr>
      <w:pict>
        <v:shape id="PowerPlusWaterMarkObject36258656" o:spid="_x0000_s2049" o:spt="136" type="#_x0000_t136" style="position:absolute;left:0pt;height:217.15pt;width:434.3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ACIP" style="font-family:方正黑体_GBK;font-size:8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5"/>
  <w:drawingGridVerticalSpacing w:val="479"/>
  <w:displayHorizontalDrawingGridEvery w:val="0"/>
  <w:displayVerticalDrawingGridEvery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612E8"/>
    <w:rsid w:val="000072A3"/>
    <w:rsid w:val="00010BF5"/>
    <w:rsid w:val="000111BB"/>
    <w:rsid w:val="000214BB"/>
    <w:rsid w:val="000238F0"/>
    <w:rsid w:val="000250FA"/>
    <w:rsid w:val="00031866"/>
    <w:rsid w:val="00031F6B"/>
    <w:rsid w:val="00033197"/>
    <w:rsid w:val="0003652B"/>
    <w:rsid w:val="00040644"/>
    <w:rsid w:val="00045DD0"/>
    <w:rsid w:val="00057101"/>
    <w:rsid w:val="0007107C"/>
    <w:rsid w:val="00077351"/>
    <w:rsid w:val="0008523D"/>
    <w:rsid w:val="0008796D"/>
    <w:rsid w:val="00092CB0"/>
    <w:rsid w:val="00094F53"/>
    <w:rsid w:val="00096696"/>
    <w:rsid w:val="000A178C"/>
    <w:rsid w:val="000A2680"/>
    <w:rsid w:val="000C2BD7"/>
    <w:rsid w:val="000D0CCB"/>
    <w:rsid w:val="000D15E5"/>
    <w:rsid w:val="000E2EDF"/>
    <w:rsid w:val="000E765F"/>
    <w:rsid w:val="000F2B74"/>
    <w:rsid w:val="000F3EA6"/>
    <w:rsid w:val="00111751"/>
    <w:rsid w:val="00113C4E"/>
    <w:rsid w:val="00115C1D"/>
    <w:rsid w:val="00117DBD"/>
    <w:rsid w:val="00131193"/>
    <w:rsid w:val="00146304"/>
    <w:rsid w:val="0014752C"/>
    <w:rsid w:val="0015003F"/>
    <w:rsid w:val="0015799F"/>
    <w:rsid w:val="00160162"/>
    <w:rsid w:val="001620B6"/>
    <w:rsid w:val="00170972"/>
    <w:rsid w:val="00173FE3"/>
    <w:rsid w:val="00177B16"/>
    <w:rsid w:val="00186450"/>
    <w:rsid w:val="00186603"/>
    <w:rsid w:val="00186C82"/>
    <w:rsid w:val="001956F3"/>
    <w:rsid w:val="00195C8D"/>
    <w:rsid w:val="001A60F4"/>
    <w:rsid w:val="001B0591"/>
    <w:rsid w:val="001B4644"/>
    <w:rsid w:val="001C02D8"/>
    <w:rsid w:val="001C32C6"/>
    <w:rsid w:val="001C3966"/>
    <w:rsid w:val="001C771E"/>
    <w:rsid w:val="001D29AD"/>
    <w:rsid w:val="001D46CF"/>
    <w:rsid w:val="001E5830"/>
    <w:rsid w:val="001E60BD"/>
    <w:rsid w:val="001F12E3"/>
    <w:rsid w:val="001F242D"/>
    <w:rsid w:val="001F5158"/>
    <w:rsid w:val="001F5353"/>
    <w:rsid w:val="001F6028"/>
    <w:rsid w:val="00207465"/>
    <w:rsid w:val="00212276"/>
    <w:rsid w:val="002128EC"/>
    <w:rsid w:val="002155FD"/>
    <w:rsid w:val="002207AD"/>
    <w:rsid w:val="00221900"/>
    <w:rsid w:val="00227736"/>
    <w:rsid w:val="00232D96"/>
    <w:rsid w:val="00245BE9"/>
    <w:rsid w:val="002552FB"/>
    <w:rsid w:val="00264E6A"/>
    <w:rsid w:val="00270523"/>
    <w:rsid w:val="00275F31"/>
    <w:rsid w:val="00277BF0"/>
    <w:rsid w:val="00292C02"/>
    <w:rsid w:val="00294BE2"/>
    <w:rsid w:val="0029552A"/>
    <w:rsid w:val="002A62FD"/>
    <w:rsid w:val="002A6D5C"/>
    <w:rsid w:val="002B1D71"/>
    <w:rsid w:val="002B2DA3"/>
    <w:rsid w:val="002B5985"/>
    <w:rsid w:val="002B5C34"/>
    <w:rsid w:val="002C4FC6"/>
    <w:rsid w:val="002C63A5"/>
    <w:rsid w:val="002C7465"/>
    <w:rsid w:val="002D0E5F"/>
    <w:rsid w:val="002D57D5"/>
    <w:rsid w:val="002D73BC"/>
    <w:rsid w:val="002E694F"/>
    <w:rsid w:val="00303CB9"/>
    <w:rsid w:val="00303E25"/>
    <w:rsid w:val="003065C8"/>
    <w:rsid w:val="00306886"/>
    <w:rsid w:val="00310326"/>
    <w:rsid w:val="0031164F"/>
    <w:rsid w:val="00312C98"/>
    <w:rsid w:val="00313579"/>
    <w:rsid w:val="0032748C"/>
    <w:rsid w:val="00330CD9"/>
    <w:rsid w:val="003311F9"/>
    <w:rsid w:val="00347EF4"/>
    <w:rsid w:val="0035054E"/>
    <w:rsid w:val="00352EA3"/>
    <w:rsid w:val="00366390"/>
    <w:rsid w:val="0037151D"/>
    <w:rsid w:val="003820CB"/>
    <w:rsid w:val="00394ECB"/>
    <w:rsid w:val="00395396"/>
    <w:rsid w:val="003A12A5"/>
    <w:rsid w:val="003A13DD"/>
    <w:rsid w:val="003A42F3"/>
    <w:rsid w:val="003A4325"/>
    <w:rsid w:val="003A515C"/>
    <w:rsid w:val="003C6266"/>
    <w:rsid w:val="003D1271"/>
    <w:rsid w:val="003D1F99"/>
    <w:rsid w:val="003D3810"/>
    <w:rsid w:val="003E5EFF"/>
    <w:rsid w:val="003E75A3"/>
    <w:rsid w:val="003E7A82"/>
    <w:rsid w:val="003F3B4F"/>
    <w:rsid w:val="00414356"/>
    <w:rsid w:val="0042586E"/>
    <w:rsid w:val="00433BCB"/>
    <w:rsid w:val="00441773"/>
    <w:rsid w:val="004430D3"/>
    <w:rsid w:val="00443796"/>
    <w:rsid w:val="004560F1"/>
    <w:rsid w:val="004720DE"/>
    <w:rsid w:val="0048117A"/>
    <w:rsid w:val="004B7D62"/>
    <w:rsid w:val="004C0A23"/>
    <w:rsid w:val="004C342E"/>
    <w:rsid w:val="004C4A8A"/>
    <w:rsid w:val="004C5058"/>
    <w:rsid w:val="004D374B"/>
    <w:rsid w:val="004D73E0"/>
    <w:rsid w:val="004D78BC"/>
    <w:rsid w:val="004E38DF"/>
    <w:rsid w:val="004E474C"/>
    <w:rsid w:val="004F232C"/>
    <w:rsid w:val="004F612B"/>
    <w:rsid w:val="0050602C"/>
    <w:rsid w:val="005102F4"/>
    <w:rsid w:val="00513B13"/>
    <w:rsid w:val="005241EB"/>
    <w:rsid w:val="00530F4E"/>
    <w:rsid w:val="00531ED8"/>
    <w:rsid w:val="00542AA5"/>
    <w:rsid w:val="00552A05"/>
    <w:rsid w:val="005624A6"/>
    <w:rsid w:val="00562B9B"/>
    <w:rsid w:val="005944A6"/>
    <w:rsid w:val="005A2826"/>
    <w:rsid w:val="005A4753"/>
    <w:rsid w:val="005B025D"/>
    <w:rsid w:val="005B03BA"/>
    <w:rsid w:val="005B0495"/>
    <w:rsid w:val="005B3EB0"/>
    <w:rsid w:val="005B7A23"/>
    <w:rsid w:val="005C6328"/>
    <w:rsid w:val="005D1080"/>
    <w:rsid w:val="005D341E"/>
    <w:rsid w:val="005D6A14"/>
    <w:rsid w:val="005E0A8A"/>
    <w:rsid w:val="005E7931"/>
    <w:rsid w:val="005F4860"/>
    <w:rsid w:val="005F6DF9"/>
    <w:rsid w:val="005F7C39"/>
    <w:rsid w:val="00612A26"/>
    <w:rsid w:val="0061437C"/>
    <w:rsid w:val="006158E2"/>
    <w:rsid w:val="00621529"/>
    <w:rsid w:val="00623396"/>
    <w:rsid w:val="006309C8"/>
    <w:rsid w:val="00630BBB"/>
    <w:rsid w:val="0063411B"/>
    <w:rsid w:val="0064179C"/>
    <w:rsid w:val="00647C55"/>
    <w:rsid w:val="00651683"/>
    <w:rsid w:val="00653271"/>
    <w:rsid w:val="00653FCA"/>
    <w:rsid w:val="00672593"/>
    <w:rsid w:val="0068580A"/>
    <w:rsid w:val="006864DE"/>
    <w:rsid w:val="00686B08"/>
    <w:rsid w:val="00691377"/>
    <w:rsid w:val="00693DCC"/>
    <w:rsid w:val="0069659A"/>
    <w:rsid w:val="00696F03"/>
    <w:rsid w:val="00697AC1"/>
    <w:rsid w:val="006A1429"/>
    <w:rsid w:val="006A58CD"/>
    <w:rsid w:val="006A59F4"/>
    <w:rsid w:val="006A6293"/>
    <w:rsid w:val="006B4BBD"/>
    <w:rsid w:val="006C0835"/>
    <w:rsid w:val="006C421C"/>
    <w:rsid w:val="006E106C"/>
    <w:rsid w:val="006E5D14"/>
    <w:rsid w:val="007108DF"/>
    <w:rsid w:val="00710E94"/>
    <w:rsid w:val="0071300F"/>
    <w:rsid w:val="007211B6"/>
    <w:rsid w:val="00721992"/>
    <w:rsid w:val="0073577F"/>
    <w:rsid w:val="00746AA3"/>
    <w:rsid w:val="00746D6B"/>
    <w:rsid w:val="0074795D"/>
    <w:rsid w:val="0075373A"/>
    <w:rsid w:val="00755F85"/>
    <w:rsid w:val="0075731A"/>
    <w:rsid w:val="00765B81"/>
    <w:rsid w:val="007717EB"/>
    <w:rsid w:val="00777561"/>
    <w:rsid w:val="00781A7F"/>
    <w:rsid w:val="00783828"/>
    <w:rsid w:val="00784AE9"/>
    <w:rsid w:val="00790318"/>
    <w:rsid w:val="007A1102"/>
    <w:rsid w:val="007A5EBE"/>
    <w:rsid w:val="007A6148"/>
    <w:rsid w:val="007A6257"/>
    <w:rsid w:val="007A7CD6"/>
    <w:rsid w:val="007B3DF5"/>
    <w:rsid w:val="007B445D"/>
    <w:rsid w:val="007B6D87"/>
    <w:rsid w:val="007C3A1D"/>
    <w:rsid w:val="007D1753"/>
    <w:rsid w:val="007D1A24"/>
    <w:rsid w:val="007D492A"/>
    <w:rsid w:val="007D7BFE"/>
    <w:rsid w:val="007E335D"/>
    <w:rsid w:val="007F1A97"/>
    <w:rsid w:val="007F245E"/>
    <w:rsid w:val="00813DE7"/>
    <w:rsid w:val="00816E7A"/>
    <w:rsid w:val="00820B6F"/>
    <w:rsid w:val="00821FD8"/>
    <w:rsid w:val="00826DC7"/>
    <w:rsid w:val="00826EA6"/>
    <w:rsid w:val="0083521A"/>
    <w:rsid w:val="008403A9"/>
    <w:rsid w:val="008409A6"/>
    <w:rsid w:val="008444E6"/>
    <w:rsid w:val="00851B69"/>
    <w:rsid w:val="00857D47"/>
    <w:rsid w:val="00860CDC"/>
    <w:rsid w:val="00864DB8"/>
    <w:rsid w:val="00866B97"/>
    <w:rsid w:val="00880F03"/>
    <w:rsid w:val="0088287B"/>
    <w:rsid w:val="00883FCF"/>
    <w:rsid w:val="00890E0C"/>
    <w:rsid w:val="00890FE7"/>
    <w:rsid w:val="008A25A8"/>
    <w:rsid w:val="008A4BF4"/>
    <w:rsid w:val="008A4F37"/>
    <w:rsid w:val="008A69F1"/>
    <w:rsid w:val="008B0415"/>
    <w:rsid w:val="008C18D4"/>
    <w:rsid w:val="008C47EC"/>
    <w:rsid w:val="008C679C"/>
    <w:rsid w:val="008D1B19"/>
    <w:rsid w:val="008D2B3B"/>
    <w:rsid w:val="008D58AE"/>
    <w:rsid w:val="008F1FB2"/>
    <w:rsid w:val="008F7E49"/>
    <w:rsid w:val="0091241A"/>
    <w:rsid w:val="009257D2"/>
    <w:rsid w:val="009269F5"/>
    <w:rsid w:val="009324D0"/>
    <w:rsid w:val="0093275D"/>
    <w:rsid w:val="009329FF"/>
    <w:rsid w:val="00941371"/>
    <w:rsid w:val="00943328"/>
    <w:rsid w:val="00943E4D"/>
    <w:rsid w:val="00951439"/>
    <w:rsid w:val="009701ED"/>
    <w:rsid w:val="00972FA3"/>
    <w:rsid w:val="0097597C"/>
    <w:rsid w:val="00986232"/>
    <w:rsid w:val="0098737C"/>
    <w:rsid w:val="00991613"/>
    <w:rsid w:val="009959A9"/>
    <w:rsid w:val="00995DF1"/>
    <w:rsid w:val="009A2C0E"/>
    <w:rsid w:val="009A313F"/>
    <w:rsid w:val="009A654D"/>
    <w:rsid w:val="009C192B"/>
    <w:rsid w:val="009C39BF"/>
    <w:rsid w:val="009C67BD"/>
    <w:rsid w:val="009C75A8"/>
    <w:rsid w:val="009D0E65"/>
    <w:rsid w:val="009D2546"/>
    <w:rsid w:val="009D5AE3"/>
    <w:rsid w:val="009E2A27"/>
    <w:rsid w:val="009E3527"/>
    <w:rsid w:val="009F3DD9"/>
    <w:rsid w:val="009F4135"/>
    <w:rsid w:val="00A00E16"/>
    <w:rsid w:val="00A07F4B"/>
    <w:rsid w:val="00A15DC8"/>
    <w:rsid w:val="00A17C54"/>
    <w:rsid w:val="00A22AAA"/>
    <w:rsid w:val="00A24759"/>
    <w:rsid w:val="00A32EE8"/>
    <w:rsid w:val="00A3516E"/>
    <w:rsid w:val="00A52130"/>
    <w:rsid w:val="00A60D37"/>
    <w:rsid w:val="00A62B06"/>
    <w:rsid w:val="00A74D7F"/>
    <w:rsid w:val="00A75C88"/>
    <w:rsid w:val="00A8745D"/>
    <w:rsid w:val="00A877EE"/>
    <w:rsid w:val="00A93DD6"/>
    <w:rsid w:val="00A940FE"/>
    <w:rsid w:val="00A96CFB"/>
    <w:rsid w:val="00AA4701"/>
    <w:rsid w:val="00AA4EE4"/>
    <w:rsid w:val="00AA5103"/>
    <w:rsid w:val="00AB3346"/>
    <w:rsid w:val="00AC299E"/>
    <w:rsid w:val="00AC3540"/>
    <w:rsid w:val="00AC54A2"/>
    <w:rsid w:val="00AC68C8"/>
    <w:rsid w:val="00AC6917"/>
    <w:rsid w:val="00AD5C40"/>
    <w:rsid w:val="00AD624A"/>
    <w:rsid w:val="00AD734C"/>
    <w:rsid w:val="00AE11AE"/>
    <w:rsid w:val="00AE3AF4"/>
    <w:rsid w:val="00AE72E0"/>
    <w:rsid w:val="00AF1B8D"/>
    <w:rsid w:val="00AF3BA7"/>
    <w:rsid w:val="00AF6B2B"/>
    <w:rsid w:val="00AF7115"/>
    <w:rsid w:val="00AF7CDD"/>
    <w:rsid w:val="00B05BEF"/>
    <w:rsid w:val="00B125E4"/>
    <w:rsid w:val="00B23434"/>
    <w:rsid w:val="00B236BD"/>
    <w:rsid w:val="00B3781D"/>
    <w:rsid w:val="00B452E3"/>
    <w:rsid w:val="00B51BCE"/>
    <w:rsid w:val="00B51D8E"/>
    <w:rsid w:val="00B526AE"/>
    <w:rsid w:val="00B5301E"/>
    <w:rsid w:val="00B53A9D"/>
    <w:rsid w:val="00B55958"/>
    <w:rsid w:val="00B5656D"/>
    <w:rsid w:val="00B612E8"/>
    <w:rsid w:val="00B70062"/>
    <w:rsid w:val="00B755F6"/>
    <w:rsid w:val="00B76738"/>
    <w:rsid w:val="00B776A7"/>
    <w:rsid w:val="00B85870"/>
    <w:rsid w:val="00B876DC"/>
    <w:rsid w:val="00B91DA8"/>
    <w:rsid w:val="00B97261"/>
    <w:rsid w:val="00B97A76"/>
    <w:rsid w:val="00BA297D"/>
    <w:rsid w:val="00BA6957"/>
    <w:rsid w:val="00BD38ED"/>
    <w:rsid w:val="00BE28E3"/>
    <w:rsid w:val="00BF1524"/>
    <w:rsid w:val="00BF561E"/>
    <w:rsid w:val="00C20381"/>
    <w:rsid w:val="00C236AA"/>
    <w:rsid w:val="00C30CD2"/>
    <w:rsid w:val="00C32E64"/>
    <w:rsid w:val="00C34869"/>
    <w:rsid w:val="00C36893"/>
    <w:rsid w:val="00C56267"/>
    <w:rsid w:val="00C56A6B"/>
    <w:rsid w:val="00C62CF5"/>
    <w:rsid w:val="00C6570E"/>
    <w:rsid w:val="00C670C8"/>
    <w:rsid w:val="00C71CAD"/>
    <w:rsid w:val="00C80D83"/>
    <w:rsid w:val="00C86153"/>
    <w:rsid w:val="00C911B0"/>
    <w:rsid w:val="00C91FA3"/>
    <w:rsid w:val="00C97567"/>
    <w:rsid w:val="00CA305C"/>
    <w:rsid w:val="00CB3882"/>
    <w:rsid w:val="00CB4727"/>
    <w:rsid w:val="00CB5014"/>
    <w:rsid w:val="00CC4A5D"/>
    <w:rsid w:val="00CD7300"/>
    <w:rsid w:val="00CD7EA3"/>
    <w:rsid w:val="00CE24EE"/>
    <w:rsid w:val="00CE367B"/>
    <w:rsid w:val="00CE5C9B"/>
    <w:rsid w:val="00CF02B2"/>
    <w:rsid w:val="00CF2E23"/>
    <w:rsid w:val="00D00368"/>
    <w:rsid w:val="00D075CF"/>
    <w:rsid w:val="00D21B2E"/>
    <w:rsid w:val="00D243FC"/>
    <w:rsid w:val="00D336AD"/>
    <w:rsid w:val="00D364FE"/>
    <w:rsid w:val="00D401F8"/>
    <w:rsid w:val="00D42F88"/>
    <w:rsid w:val="00D47FAB"/>
    <w:rsid w:val="00D52B0A"/>
    <w:rsid w:val="00D55FE6"/>
    <w:rsid w:val="00D63A46"/>
    <w:rsid w:val="00D727C2"/>
    <w:rsid w:val="00D75B74"/>
    <w:rsid w:val="00D864DF"/>
    <w:rsid w:val="00D90A0F"/>
    <w:rsid w:val="00D9773B"/>
    <w:rsid w:val="00DA011E"/>
    <w:rsid w:val="00DA7466"/>
    <w:rsid w:val="00DB0371"/>
    <w:rsid w:val="00DB0CB8"/>
    <w:rsid w:val="00DB1416"/>
    <w:rsid w:val="00DB427D"/>
    <w:rsid w:val="00DB4663"/>
    <w:rsid w:val="00DB599D"/>
    <w:rsid w:val="00DC0380"/>
    <w:rsid w:val="00DC0772"/>
    <w:rsid w:val="00DC42E9"/>
    <w:rsid w:val="00DD107A"/>
    <w:rsid w:val="00DD1F00"/>
    <w:rsid w:val="00DD3935"/>
    <w:rsid w:val="00DE0383"/>
    <w:rsid w:val="00DE1D36"/>
    <w:rsid w:val="00DF1013"/>
    <w:rsid w:val="00DF6154"/>
    <w:rsid w:val="00DF62AE"/>
    <w:rsid w:val="00E02577"/>
    <w:rsid w:val="00E21A1B"/>
    <w:rsid w:val="00E2249A"/>
    <w:rsid w:val="00E25761"/>
    <w:rsid w:val="00E27FA5"/>
    <w:rsid w:val="00E43B3C"/>
    <w:rsid w:val="00E6145E"/>
    <w:rsid w:val="00E64507"/>
    <w:rsid w:val="00E648E8"/>
    <w:rsid w:val="00E80E05"/>
    <w:rsid w:val="00E825E1"/>
    <w:rsid w:val="00E87962"/>
    <w:rsid w:val="00E93644"/>
    <w:rsid w:val="00E96557"/>
    <w:rsid w:val="00E96D2B"/>
    <w:rsid w:val="00EA04A0"/>
    <w:rsid w:val="00EB203B"/>
    <w:rsid w:val="00EB3475"/>
    <w:rsid w:val="00EB40AF"/>
    <w:rsid w:val="00EB4F56"/>
    <w:rsid w:val="00EB5F59"/>
    <w:rsid w:val="00EB6E6E"/>
    <w:rsid w:val="00EC44C6"/>
    <w:rsid w:val="00ED66EB"/>
    <w:rsid w:val="00EE5E8C"/>
    <w:rsid w:val="00EE73C9"/>
    <w:rsid w:val="00F02B69"/>
    <w:rsid w:val="00F137EE"/>
    <w:rsid w:val="00F138A7"/>
    <w:rsid w:val="00F1576E"/>
    <w:rsid w:val="00F20101"/>
    <w:rsid w:val="00F21324"/>
    <w:rsid w:val="00F2201C"/>
    <w:rsid w:val="00F242C5"/>
    <w:rsid w:val="00F26A08"/>
    <w:rsid w:val="00F304BA"/>
    <w:rsid w:val="00F3509E"/>
    <w:rsid w:val="00F36D48"/>
    <w:rsid w:val="00F42F39"/>
    <w:rsid w:val="00F518A1"/>
    <w:rsid w:val="00F61530"/>
    <w:rsid w:val="00F62358"/>
    <w:rsid w:val="00F64528"/>
    <w:rsid w:val="00F91E6A"/>
    <w:rsid w:val="00F943CA"/>
    <w:rsid w:val="00F96422"/>
    <w:rsid w:val="00FA5C3A"/>
    <w:rsid w:val="00FB1196"/>
    <w:rsid w:val="00FB2608"/>
    <w:rsid w:val="00FB2856"/>
    <w:rsid w:val="00FB2C0D"/>
    <w:rsid w:val="00FC3186"/>
    <w:rsid w:val="00FC36ED"/>
    <w:rsid w:val="00FC54A0"/>
    <w:rsid w:val="00FD3FE1"/>
    <w:rsid w:val="00FD506E"/>
    <w:rsid w:val="00FD50E8"/>
    <w:rsid w:val="00FE41BA"/>
    <w:rsid w:val="00FE53CA"/>
    <w:rsid w:val="00FE56A0"/>
    <w:rsid w:val="00FF04FB"/>
    <w:rsid w:val="226249DE"/>
    <w:rsid w:val="3A2923A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Cambria" w:hAnsi="Cambria" w:eastAsia="宋体" w:cs="Times New Roman"/>
      <w:b/>
      <w:bCs/>
      <w:color w:val="366091"/>
      <w:sz w:val="28"/>
      <w:szCs w:val="28"/>
    </w:rPr>
  </w:style>
  <w:style w:type="paragraph" w:styleId="3">
    <w:name w:val="heading 2"/>
    <w:basedOn w:val="1"/>
    <w:next w:val="1"/>
    <w:unhideWhenUsed/>
    <w:qFormat/>
    <w:uiPriority w:val="9"/>
    <w:pPr>
      <w:keepNext/>
      <w:keepLines/>
      <w:spacing w:before="200" w:after="0"/>
      <w:outlineLvl w:val="1"/>
    </w:pPr>
    <w:rPr>
      <w:rFonts w:ascii="Cambria" w:hAnsi="Cambria" w:eastAsia="宋体" w:cs="Times New Roman"/>
      <w:b/>
      <w:bCs/>
      <w:color w:val="4F81BD"/>
      <w:sz w:val="26"/>
      <w:szCs w:val="26"/>
    </w:rPr>
  </w:style>
  <w:style w:type="paragraph" w:styleId="4">
    <w:name w:val="heading 4"/>
    <w:basedOn w:val="1"/>
    <w:next w:val="1"/>
    <w:qFormat/>
    <w:uiPriority w:val="0"/>
    <w:pPr>
      <w:keepNext/>
      <w:spacing w:before="120" w:beforeLines="50" w:after="120" w:afterLines="50"/>
      <w:ind w:firstLine="3240" w:firstLineChars="1157"/>
      <w:outlineLvl w:val="3"/>
    </w:pPr>
    <w:rPr>
      <w:rFonts w:ascii="方正综艺简体" w:eastAsia="方正综艺简体"/>
      <w:sz w:val="28"/>
    </w:rPr>
  </w:style>
  <w:style w:type="character" w:default="1" w:styleId="14">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5">
    <w:name w:val="annotation text"/>
    <w:basedOn w:val="1"/>
    <w:link w:val="16"/>
    <w:uiPriority w:val="0"/>
    <w:pPr>
      <w:jc w:val="left"/>
    </w:pPr>
  </w:style>
  <w:style w:type="paragraph" w:styleId="6">
    <w:name w:val="Body Text"/>
    <w:basedOn w:val="1"/>
    <w:uiPriority w:val="0"/>
    <w:rPr>
      <w:rFonts w:eastAsia="楷体_GB2312"/>
      <w:sz w:val="32"/>
    </w:rPr>
  </w:style>
  <w:style w:type="paragraph" w:styleId="7">
    <w:name w:val="Balloon Text"/>
    <w:basedOn w:val="1"/>
    <w:link w:val="17"/>
    <w:uiPriority w:val="0"/>
    <w:rPr>
      <w:sz w:val="18"/>
      <w:szCs w:val="18"/>
    </w:rPr>
  </w:style>
  <w:style w:type="paragraph" w:styleId="8">
    <w:name w:val="footer"/>
    <w:basedOn w:val="1"/>
    <w:link w:val="18"/>
    <w:uiPriority w:val="99"/>
    <w:pPr>
      <w:tabs>
        <w:tab w:val="center" w:pos="4153"/>
        <w:tab w:val="right" w:pos="8306"/>
      </w:tabs>
      <w:snapToGrid w:val="0"/>
      <w:jc w:val="left"/>
    </w:pPr>
    <w:rPr>
      <w:sz w:val="18"/>
      <w:szCs w:val="18"/>
    </w:rPr>
  </w:style>
  <w:style w:type="paragraph" w:styleId="9">
    <w:name w:val="header"/>
    <w:basedOn w:val="1"/>
    <w:link w:val="19"/>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5"/>
    <w:next w:val="5"/>
    <w:link w:val="20"/>
    <w:uiPriority w:val="0"/>
    <w:rPr>
      <w:b/>
      <w:bCs/>
    </w:rPr>
  </w:style>
  <w:style w:type="table" w:styleId="12">
    <w:name w:val="Table Grid"/>
    <w:basedOn w:val="11"/>
    <w:uiPriority w:val="0"/>
    <w:pPr>
      <w:widowControl w:val="0"/>
      <w:jc w:val="both"/>
    </w:p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Light List"/>
    <w:basedOn w:val="11"/>
    <w:uiPriority w:val="61"/>
    <w:rPr>
      <w:rFonts w:ascii="等线" w:hAnsi="等线" w:eastAsia="等线" w:cs="Times New Roman"/>
      <w:sz w:val="22"/>
      <w:szCs w:val="22"/>
    </w:rPr>
    <w:tblPr>
      <w:tblStyle w:val="11"/>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1"/>
      </w:tblPr>
      <w:tcPr>
        <w:shd w:val="clear" w:color="auto" w:fill="000000"/>
      </w:tcPr>
    </w:tblStylePr>
    <w:tblStylePr w:type="lastRow">
      <w:pPr>
        <w:spacing w:before="0" w:after="0" w:line="240" w:lineRule="auto"/>
      </w:pPr>
      <w:rPr>
        <w:b/>
        <w:bCs/>
      </w:rPr>
      <w:tblPr>
        <w:tblStyle w:val="11"/>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blStyle w:val="11"/>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blStyle w:val="11"/>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character" w:styleId="15">
    <w:name w:val="annotation reference"/>
    <w:uiPriority w:val="0"/>
    <w:rPr>
      <w:sz w:val="21"/>
      <w:szCs w:val="21"/>
    </w:rPr>
  </w:style>
  <w:style w:type="character" w:customStyle="1" w:styleId="16">
    <w:name w:val="批注文字 Char"/>
    <w:link w:val="5"/>
    <w:uiPriority w:val="0"/>
    <w:rPr>
      <w:kern w:val="2"/>
      <w:sz w:val="21"/>
      <w:szCs w:val="24"/>
    </w:rPr>
  </w:style>
  <w:style w:type="character" w:customStyle="1" w:styleId="17">
    <w:name w:val="批注框文本 Char"/>
    <w:link w:val="7"/>
    <w:uiPriority w:val="0"/>
    <w:rPr>
      <w:kern w:val="2"/>
      <w:sz w:val="18"/>
      <w:szCs w:val="18"/>
    </w:rPr>
  </w:style>
  <w:style w:type="character" w:customStyle="1" w:styleId="18">
    <w:name w:val="页脚 字符"/>
    <w:link w:val="8"/>
    <w:uiPriority w:val="99"/>
    <w:rPr>
      <w:kern w:val="2"/>
      <w:sz w:val="18"/>
      <w:szCs w:val="18"/>
    </w:rPr>
  </w:style>
  <w:style w:type="character" w:customStyle="1" w:styleId="19">
    <w:name w:val="页眉 字符"/>
    <w:link w:val="9"/>
    <w:uiPriority w:val="99"/>
    <w:rPr>
      <w:kern w:val="2"/>
      <w:sz w:val="18"/>
      <w:szCs w:val="18"/>
    </w:rPr>
  </w:style>
  <w:style w:type="character" w:customStyle="1" w:styleId="20">
    <w:name w:val="批注主题 Char"/>
    <w:link w:val="10"/>
    <w:uiPriority w:val="0"/>
    <w:rPr>
      <w:b/>
      <w:bCs/>
      <w:kern w:val="2"/>
      <w:sz w:val="21"/>
      <w:szCs w:val="24"/>
    </w:rPr>
  </w:style>
  <w:style w:type="paragraph" w:customStyle="1" w:styleId="21">
    <w:name w:val=" Char"/>
    <w:basedOn w:val="1"/>
    <w:uiPriority w:val="0"/>
    <w:pPr>
      <w:widowControl/>
      <w:spacing w:after="160" w:line="240" w:lineRule="exact"/>
      <w:jc w:val="left"/>
    </w:pPr>
    <w:rPr>
      <w:rFonts w:ascii="Verdana" w:hAnsi="Verdana" w:eastAsia="仿宋_GB2312"/>
      <w:kern w:val="0"/>
      <w:sz w:val="24"/>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f</Company>
  <Pages>1</Pages>
  <Words>601</Words>
  <Characters>615</Characters>
  <Lines>10</Lines>
  <Paragraphs>3</Paragraphs>
  <TotalTime>0</TotalTime>
  <ScaleCrop>false</ScaleCrop>
  <LinksUpToDate>false</LinksUpToDate>
  <CharactersWithSpaces>619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2020-02-19T02:28:00Z</dcterms:created>
  <dc:creator>fuqiaomei</dc:creator>
  <cp:lastModifiedBy>MAC</cp:lastModifiedBy>
  <cp:lastPrinted>2020-01-07T11:00:00Z</cp:lastPrinted>
  <dcterms:modified xsi:type="dcterms:W3CDTF">2026-07-20T06:00:32Z</dcterms:modified>
  <dc:title>申请人所提供的技术交底资料内容</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a77d2c-695a-4818-b112-1ae0a5f15e46_SiteId">
    <vt:lpwstr>1820d742-3c65-4a5a-9c20-a87eec7363e2</vt:lpwstr>
  </property>
  <property fmtid="{D5CDD505-2E9C-101B-9397-08002B2CF9AE}" pid="3" name="MSIP_Label_02a77d2c-695a-4818-b112-1ae0a5f15e46_SetDate">
    <vt:lpwstr>2026-03-17T09:05:59Z</vt:lpwstr>
  </property>
  <property fmtid="{D5CDD505-2E9C-101B-9397-08002B2CF9AE}" pid="4" name="MSIP_Label_02a77d2c-695a-4818-b112-1ae0a5f15e46_Name">
    <vt:lpwstr>PRE_Internal</vt:lpwstr>
  </property>
  <property fmtid="{D5CDD505-2E9C-101B-9397-08002B2CF9AE}" pid="5" name="MSIP_Label_02a77d2c-695a-4818-b112-1ae0a5f15e46_Method">
    <vt:lpwstr>Standard</vt:lpwstr>
  </property>
  <property fmtid="{D5CDD505-2E9C-101B-9397-08002B2CF9AE}" pid="6" name="MSIP_Label_02a77d2c-695a-4818-b112-1ae0a5f15e46_Enabled">
    <vt:lpwstr>true</vt:lpwstr>
  </property>
  <property fmtid="{D5CDD505-2E9C-101B-9397-08002B2CF9AE}" pid="7" name="MSIP_Label_02a77d2c-695a-4818-b112-1ae0a5f15e46_ContentBits">
    <vt:lpwstr>0</vt:lpwstr>
  </property>
  <property fmtid="{D5CDD505-2E9C-101B-9397-08002B2CF9AE}" pid="8" name="MSIP_Label_02a77d2c-695a-4818-b112-1ae0a5f15e46_ActionId">
    <vt:lpwstr>93653d53-ee9e-4268-97fe-6cff4bcddc94</vt:lpwstr>
  </property>
  <property fmtid="{D5CDD505-2E9C-101B-9397-08002B2CF9AE}" pid="9" name="KSOTemplateDocerSaveRecord">
    <vt:lpwstr>eyJoZGlkIjoiZTA4NzIyN2MxYTlmMzQ1NGE2MjU5NWRkMjhlOGMxYTAifQ==</vt:lpwstr>
  </property>
  <property fmtid="{D5CDD505-2E9C-101B-9397-08002B2CF9AE}" pid="10" name="KSOProductBuildVer">
    <vt:lpwstr>2052-12.1.0.26895</vt:lpwstr>
  </property>
  <property fmtid="{D5CDD505-2E9C-101B-9397-08002B2CF9AE}" pid="11" name="ICV">
    <vt:lpwstr>4448389DD1AD412B89A6097BE1BA6E06_13</vt:lpwstr>
  </property>
</Properties>
</file>