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400" w:line="360" w:lineRule="auto"/>
        <w:jc w:val="center"/>
      </w:pPr>
      <w:r>
        <w:rPr>
          <w:rFonts w:ascii="Times New Roman" w:cs="Times New Roman" w:eastAsia="Times New Roman" w:hAnsi="Times New Roman"/>
          <w:b/>
          <w:bCs/>
          <w:sz w:val="32"/>
          <w:szCs w:val="32"/>
        </w:rPr>
        <w:t xml:space="preserve">O‘QUV MARKAZLARI UCHUN RAQAMLI TA’LIM PLATFORMASINI ISHLAB CHIQISH («TALIM PLATFORMASI»)</w:t>
      </w:r>
    </w:p>
    <w:p>
      <w:pPr>
        <w:spacing w:after="160" w:line="360" w:lineRule="auto"/>
        <w:ind w:firstLine="708"/>
      </w:pPr>
      <w:r>
        <w:rPr>
          <w:rFonts w:ascii="Times New Roman" w:cs="Times New Roman" w:eastAsia="Times New Roman" w:hAnsi="Times New Roman"/>
          <w:sz w:val="28"/>
          <w:szCs w:val="28"/>
        </w:rPr>
        <w:t xml:space="preserve">Diplom ishi (yoki bitiruv malakaviy ishi) _______________________ yo‘nalishi bo‘yicha bajarildi. Ilmiy rahbar: _______________________. Muallif: _______________________. Shahar, 2026 yil.</w:t>
      </w:r>
    </w:p>
    <w:p>
      <w:pPr>
        <w:pStyle w:val="Heading2"/>
        <w:spacing w:after="140" w:before="240" w:line="360" w:lineRule="auto"/>
      </w:pPr>
      <w:r>
        <w:rPr>
          <w:rFonts w:ascii="Times New Roman" w:cs="Times New Roman" w:eastAsia="Times New Roman" w:hAnsi="Times New Roman"/>
          <w:b/>
          <w:bCs/>
          <w:sz w:val="28"/>
          <w:szCs w:val="28"/>
        </w:rPr>
        <w:t xml:space="preserve">ANNOTATSIYA</w:t>
      </w:r>
    </w:p>
    <w:p>
      <w:pPr>
        <w:spacing w:after="160" w:line="360" w:lineRule="auto"/>
        <w:ind w:firstLine="708"/>
      </w:pPr>
      <w:r>
        <w:rPr>
          <w:rFonts w:ascii="Times New Roman" w:cs="Times New Roman" w:eastAsia="Times New Roman" w:hAnsi="Times New Roman"/>
          <w:sz w:val="28"/>
          <w:szCs w:val="28"/>
        </w:rPr>
        <w:t xml:space="preserve">Annotatsiya hajmi: __ sah. Ilmiy ishning predmeti — «Talim platformasi» veb-tizimi. Maqsad — o‘quv markazlari uchun raqamli ta’lim platformasini ishlab chiqish va sinovdan o‘tkazish jarayonini asoslash. Natija — klient–server arxitekturasi, PostgreSQL ma’lumotlar bazasi, React/TypeScript frontend va Express backend asosidagi yechim tavsiflangan.</w:t>
      </w:r>
    </w:p>
    <w:p>
      <w:pPr>
        <w:spacing w:after="160" w:line="360" w:lineRule="auto"/>
        <w:ind w:firstLine="708"/>
      </w:pPr>
      <w:r>
        <w:rPr>
          <w:rFonts w:ascii="Times New Roman" w:cs="Times New Roman" w:eastAsia="Times New Roman" w:hAnsi="Times New Roman"/>
          <w:sz w:val="28"/>
          <w:szCs w:val="28"/>
        </w:rPr>
        <w:t xml:space="preserve">Kalit so‘zlar: raqamli ta’lim, veb-platforma, o‘quv markazi, PostgreSQL, React, Node.js, REST API, real vaqt, sinov.</w:t>
      </w:r>
    </w:p>
    <w:p>
      <w:pPr>
        <w:pStyle w:val="Heading1"/>
        <w:spacing w:after="200" w:before="360" w:line="360" w:lineRule="auto"/>
      </w:pPr>
      <w:r>
        <w:rPr>
          <w:rFonts w:ascii="Times New Roman" w:cs="Times New Roman" w:eastAsia="Times New Roman" w:hAnsi="Times New Roman"/>
          <w:b/>
          <w:bCs/>
          <w:sz w:val="32"/>
          <w:szCs w:val="32"/>
        </w:rPr>
        <w:t xml:space="preserve">KIRISH</w:t>
      </w:r>
    </w:p>
    <w:p>
      <w:pPr>
        <w:spacing w:after="160" w:line="360" w:lineRule="auto"/>
        <w:ind w:firstLine="708"/>
      </w:pPr>
      <w:r>
        <w:rPr>
          <w:rFonts w:ascii="Times New Roman" w:cs="Times New Roman" w:eastAsia="Times New Roman" w:hAnsi="Times New Roman"/>
          <w:sz w:val="28"/>
          <w:szCs w:val="28"/>
        </w:rPr>
        <w:t xml:space="preserve">Zamonaviy ta’lim jarayoni texnologik vositalarsiz to‘liq qiymatga ega bo‘lmasligi, ayniqsa o‘quv markazlari kabi tijoriy ta’lim tashkilotlarida o‘quvchilarni hisobga olish, guruhlarni boshqarish, to‘lovlar, xabarlar va monitoringni birlashtiruvchi yagona platforma ehtiyoji dolzarb masalaga aylandi. Qog‘ozda yuritiladigan yoki bir-biridan ajralgan jadval va messenjerlar orqali boshqaruv xatolikka moyil, shaffoflikni pasaytiradi va xodimlar vaqtini ortiqcha sarflashga olib keladi.</w:t>
      </w:r>
    </w:p>
    <w:p>
      <w:pPr>
        <w:spacing w:after="160" w:line="360" w:lineRule="auto"/>
        <w:ind w:firstLine="708"/>
      </w:pPr>
      <w:r>
        <w:rPr>
          <w:rFonts w:ascii="Times New Roman" w:cs="Times New Roman" w:eastAsia="Times New Roman" w:hAnsi="Times New Roman"/>
          <w:sz w:val="28"/>
          <w:szCs w:val="28"/>
        </w:rPr>
        <w:t xml:space="preserve">O‘zbekiston Respublikasida raqamli ta’lim va axborot-kommunikatsiya texnologiyalarini joriy etish bo‘yicha qabul qilingan normativ-huquqiy va tavsiya xarakteridagi hujjatlar ta’lim tashkilotlarining raqamli muhitga o‘tishini tezlatmoqda. Xalqaro miqyosda UNESCO va OECD hisobotlari raqamli ta’lim ekotizimining shakllanishi, o‘qituvchi malakasi va infratuzilma talablarini tizimli qilib beradi [2][3].</w:t>
      </w:r>
    </w:p>
    <w:p>
      <w:pPr>
        <w:spacing w:after="160" w:line="360" w:lineRule="auto"/>
        <w:ind w:firstLine="708"/>
      </w:pPr>
      <w:r>
        <w:rPr>
          <w:rFonts w:ascii="Times New Roman" w:cs="Times New Roman" w:eastAsia="Times New Roman" w:hAnsi="Times New Roman"/>
          <w:sz w:val="28"/>
          <w:szCs w:val="28"/>
        </w:rPr>
        <w:t xml:space="preserve">Ilmiy ishning muammosi shundaki, kichik va o‘rta o‘quv markazlari uchun tayyor «ofis paketlari» va umumiy CRM yechimlari o‘quv-tarbiya jarayonining o‘ziga xos ssenariylarini (kurs darajalari, onlayn va oflayn aralash format, davomat, testlar, ota-ona bilan aloqa) to‘liq qamrab olmaydi. Shuning uchun maxsus veb-platforma ishlab chiqish va uni amaliyotda qo‘llash dolzarbdir.</w:t>
      </w:r>
    </w:p>
    <w:p>
      <w:pPr>
        <w:spacing w:after="160" w:line="360" w:lineRule="auto"/>
        <w:ind w:firstLine="708"/>
      </w:pPr>
      <w:r>
        <w:rPr>
          <w:rFonts w:ascii="Times New Roman" w:cs="Times New Roman" w:eastAsia="Times New Roman" w:hAnsi="Times New Roman"/>
          <w:sz w:val="28"/>
          <w:szCs w:val="28"/>
        </w:rPr>
        <w:t xml:space="preserve">Ilmiy ishning ob’ekti — o‘quv markazlarida raqamli ta’lim platformalaridan foydalanish jarayoni; predmeti — «Talim platformasi» veb-tizimining arxitekturasi, ma’lumotlar bazasi tuzilishi, dasturiy modullari va sinov natijalari.</w:t>
      </w:r>
    </w:p>
    <w:p>
      <w:pPr>
        <w:spacing w:after="160" w:line="360" w:lineRule="auto"/>
        <w:ind w:firstLine="708"/>
      </w:pPr>
      <w:r>
        <w:rPr>
          <w:rFonts w:ascii="Times New Roman" w:cs="Times New Roman" w:eastAsia="Times New Roman" w:hAnsi="Times New Roman"/>
          <w:sz w:val="28"/>
          <w:szCs w:val="28"/>
        </w:rPr>
        <w:t xml:space="preserve">Ilmiy ishning maqsadi — raqamli ta’lim platformalarining nazariy asoslarini umumlashtirish hamda o‘quv markazlari uchun mo‘ljallangan «Talim platformasi» yechimining loyihalanishi va ishlab chiqilishi jarayonini ilmiy va texnik jihatdan asoslash.</w:t>
      </w:r>
    </w:p>
    <w:p>
      <w:pPr>
        <w:spacing w:after="160" w:line="360" w:lineRule="auto"/>
        <w:ind w:firstLine="708"/>
      </w:pPr>
      <w:r>
        <w:rPr>
          <w:rFonts w:ascii="Times New Roman" w:cs="Times New Roman" w:eastAsia="Times New Roman" w:hAnsi="Times New Roman"/>
          <w:sz w:val="28"/>
          <w:szCs w:val="28"/>
        </w:rPr>
        <w:t xml:space="preserve">Vazifalar: (1) raqamli ta’lim platformalarining turlari va ularning o‘quv markazi faoliyatidagi o‘rini bo‘yicha adabiyotlar va rasmiy manbalar asosida tahlil olib borish; (2) zamonaviy veb, ma’lumotlar bazasi va real vaqt texnologiyalarini tanlash va ularning tanlangan loyihaga mosligini asoslash; (3) analog yechimlarni taqqoslash orqali o‘z yechimining afzalliklari va cheklovlarini aniqlash; (4) tizim arxitekturasi va ma’lumotlar modelini loyihalash; (5) frontend va backend dasturiy qismlarini yaratish; (6) funksional sinovlar o‘tkazish va natijalarni tahlil qilish.</w:t>
      </w:r>
    </w:p>
    <w:p>
      <w:pPr>
        <w:spacing w:after="160" w:line="360" w:lineRule="auto"/>
        <w:ind w:firstLine="708"/>
      </w:pPr>
      <w:r>
        <w:rPr>
          <w:rFonts w:ascii="Times New Roman" w:cs="Times New Roman" w:eastAsia="Times New Roman" w:hAnsi="Times New Roman"/>
          <w:sz w:val="28"/>
          <w:szCs w:val="28"/>
        </w:rPr>
        <w:t xml:space="preserve">Ilmiy ishning yangiliqi — nazariy qismda xalqaro tashkilotlar hisobotlari bilan milliy statistik ma’lumotlarni uyg‘unlashtirish, amaliy qismda esa o‘quv markazi uchun rollar (student, teacher, admin, cashier, receptionist, parent) va modullar (kurs, yozilish, to‘lov, xabar, davomat, test, chegirma, yangilik va boshqalar) yig‘indisini yagona veb-tizimda birlashtirish bo‘yicha yondashuvdir.</w:t>
      </w:r>
    </w:p>
    <w:p>
      <w:pPr>
        <w:spacing w:after="160" w:line="360" w:lineRule="auto"/>
        <w:ind w:firstLine="708"/>
      </w:pPr>
      <w:r>
        <w:rPr>
          <w:rFonts w:ascii="Times New Roman" w:cs="Times New Roman" w:eastAsia="Times New Roman" w:hAnsi="Times New Roman"/>
          <w:sz w:val="28"/>
          <w:szCs w:val="28"/>
        </w:rPr>
        <w:t xml:space="preserve">Ilmiy ahamiyati — ishlab chiqilgan yondashuv va dasturiy yechim boshqa o‘quv markazlari yoki ta’lim startaplari tomonidan moslashtirib qo‘llanishi mumkin bo‘lgan modul tuzilmasini namoyish etadi. Amaliyot ahamiyati — markaz xodimlari va o‘quvchilar uchun jarayonlarni soddalashtirish va ma’lumotlarni markazlashtirishdir.</w:t>
      </w:r>
    </w:p>
    <w:p>
      <w:pPr>
        <w:spacing w:after="160" w:line="360" w:lineRule="auto"/>
        <w:ind w:firstLine="708"/>
      </w:pPr>
      <w:r>
        <w:rPr>
          <w:rFonts w:ascii="Times New Roman" w:cs="Times New Roman" w:eastAsia="Times New Roman" w:hAnsi="Times New Roman"/>
          <w:sz w:val="28"/>
          <w:szCs w:val="28"/>
        </w:rPr>
        <w:t xml:space="preserve">Ish tuzilmasi: birinchi bobda nazariy asoslar; ikkinchi bobda loyihalash va ishlab chiqish; yakunda xulosa va «Foydalanilgan adabiyotlar» keltiriladi. Matnda adabiyotlarga iqtiboslar raqamli ko‘rinishda berilgan.</w:t>
      </w:r>
    </w:p>
    <w:p>
      <w:r>
        <w:br w:type="page"/>
      </w:r>
    </w:p>
    <w:p>
      <w:pPr>
        <w:pStyle w:val="Heading1"/>
        <w:spacing w:after="200" w:before="360" w:line="360" w:lineRule="auto"/>
      </w:pPr>
      <w:r>
        <w:rPr>
          <w:rFonts w:ascii="Times New Roman" w:cs="Times New Roman" w:eastAsia="Times New Roman" w:hAnsi="Times New Roman"/>
          <w:b/>
          <w:bCs/>
          <w:sz w:val="32"/>
          <w:szCs w:val="32"/>
        </w:rPr>
        <w:t xml:space="preserve">I BOB. RAQAMLI TA’LIM PLATFORMLARINING NAZARIY ASOSLARI</w:t>
      </w:r>
    </w:p>
    <w:p>
      <w:pPr>
        <w:pStyle w:val="Heading2"/>
        <w:spacing w:after="140" w:before="240" w:line="360" w:lineRule="auto"/>
      </w:pPr>
      <w:r>
        <w:rPr>
          <w:rFonts w:ascii="Times New Roman" w:cs="Times New Roman" w:eastAsia="Times New Roman" w:hAnsi="Times New Roman"/>
          <w:b/>
          <w:bCs/>
          <w:sz w:val="28"/>
          <w:szCs w:val="28"/>
        </w:rPr>
        <w:t xml:space="preserve">1.1. Ta’lim jarayonini qo‘llab-quvvatlovchi raqamli ta’lim platformalari va ularning turlari</w:t>
      </w:r>
    </w:p>
    <w:p>
      <w:pPr>
        <w:spacing w:after="160" w:line="360" w:lineRule="auto"/>
        <w:ind w:firstLine="708"/>
      </w:pPr>
      <w:r>
        <w:rPr>
          <w:rFonts w:ascii="Times New Roman" w:cs="Times New Roman" w:eastAsia="Times New Roman" w:hAnsi="Times New Roman"/>
          <w:sz w:val="28"/>
          <w:szCs w:val="28"/>
        </w:rPr>
        <w:t xml:space="preserve">Raqamli ta’lim platformasi deb, o‘quv kontentini yetkazish, o‘quvchilarni boshqarish, baholash va o‘zaro aloqani axborot tizimlari orqali ta’minlovchi dasturiy- apparat kompleksiga aytiladi. Zamonaviy ta’limda eng keng tarqalgan sinf — Learning Management System (LMS), ya’ni o‘quv jarayonini rejalashtirish, topshiriqlarni berish va qaytarib olish, baholash jurnallarini yuritish imkoniyatlarini birlashtiruvchi tizimlar. Bundan tashqari, o‘qituvchi malakasini rivojlantirish (LXP), korporativ o‘qitish platformalari va o‘quv markazlari uchun maxsus boshqaruv paneli bilan birlashtirilgan yechimlar mavjud [1].</w:t>
      </w:r>
    </w:p>
    <w:p>
      <w:pPr>
        <w:spacing w:after="160" w:line="360" w:lineRule="auto"/>
        <w:ind w:firstLine="708"/>
      </w:pPr>
      <w:r>
        <w:rPr>
          <w:rFonts w:ascii="Times New Roman" w:cs="Times New Roman" w:eastAsia="Times New Roman" w:hAnsi="Times New Roman"/>
          <w:sz w:val="28"/>
          <w:szCs w:val="28"/>
        </w:rPr>
        <w:t xml:space="preserve">Raqamli platformalar sinxron (jonli dars, vebinar) va asinxron (video darslar, forum, chat) o‘qitish modellarini qo‘llab-quvvatlashi mumkin. Xalqaro hisobotlarda ta’limning sifatini oshirishda raqamli vositalarning o‘rni alohida ta'kidlanadi: texnologiya o‘zi o‘rnini bosmaydi, balki pedagogik dizayn va boshqaruv siyosati bilan birgalikda samara beradi [2]. OECD ko‘rsatmalariga ko‘ra, raqamli ekotizimda platforma, kontent, malaka va infratuzilma o‘rtasida muvozanatni saqlash muhim [3].</w:t>
      </w:r>
    </w:p>
    <w:p>
      <w:pPr>
        <w:spacing w:after="160" w:line="360" w:lineRule="auto"/>
        <w:ind w:firstLine="708"/>
      </w:pPr>
      <w:r>
        <w:rPr>
          <w:rFonts w:ascii="Times New Roman" w:cs="Times New Roman" w:eastAsia="Times New Roman" w:hAnsi="Times New Roman"/>
          <w:sz w:val="28"/>
          <w:szCs w:val="28"/>
        </w:rPr>
        <w:t xml:space="preserve">O‘quv markazlari uchun LMS dan tashqari, to‘lov va yozilish (CRM elementlari), xabar almashinuvi, ota-onaga hisobot kabi funksiyalar muhim. Shuning uchun «universitet LMS» dan farqli ravishda tijoriy markaz ssenariysiga yaqin modullar to‘plami talab etiladi. Mazkur diplom ishida shu bo‘shliqni to‘ldirish maqsadida maxsus platforma ishlab chiqilgan.</w:t>
      </w:r>
    </w:p>
    <w:p>
      <w:pPr>
        <w:spacing w:after="160" w:line="360" w:lineRule="auto"/>
        <w:ind w:firstLine="708"/>
      </w:pPr>
      <w:r>
        <w:rPr>
          <w:rFonts w:ascii="Times New Roman" w:cs="Times New Roman" w:eastAsia="Times New Roman" w:hAnsi="Times New Roman"/>
          <w:sz w:val="28"/>
          <w:szCs w:val="28"/>
        </w:rPr>
        <w:t xml:space="preserve">Xulosa qilib aytganda, raqamli ta’lim platformalari turli bo‘linadi: ochiq manbali va tijoriy; kengaytiriladigan plaginlar asosidagi va monolit yechimlar; mobil- birinchi (mobile-first) va klassik veb-interfeysdagi. Tanlov pedagogik maqsad, byudjet va texnik jamoaning kvalifikatsiyasiga bog‘liq [1][2][3].</w:t>
      </w:r>
    </w:p>
    <w:p>
      <w:pPr>
        <w:pStyle w:val="Heading2"/>
        <w:spacing w:after="140" w:before="240" w:line="360" w:lineRule="auto"/>
      </w:pPr>
      <w:r>
        <w:rPr>
          <w:rFonts w:ascii="Times New Roman" w:cs="Times New Roman" w:eastAsia="Times New Roman" w:hAnsi="Times New Roman"/>
          <w:b/>
          <w:bCs/>
          <w:sz w:val="28"/>
          <w:szCs w:val="28"/>
        </w:rPr>
        <w:t xml:space="preserve">1.2. O‘quv markazlari faoliyatida zamonaviy veb-platformalarning o‘rni va ahamiyati</w:t>
      </w:r>
    </w:p>
    <w:p>
      <w:pPr>
        <w:spacing w:after="160" w:line="360" w:lineRule="auto"/>
        <w:ind w:firstLine="708"/>
      </w:pPr>
      <w:r>
        <w:rPr>
          <w:rFonts w:ascii="Times New Roman" w:cs="Times New Roman" w:eastAsia="Times New Roman" w:hAnsi="Times New Roman"/>
          <w:sz w:val="28"/>
          <w:szCs w:val="28"/>
        </w:rPr>
        <w:t xml:space="preserve">O‘quv markazi faoliyatining mohiyati — o‘quvchilar oqimini boshqarish, guruhlarni shakllantirish, o‘qituvchilarni yuklamasi bilan bog‘lash va moliyaviy natijadorlikni nazorat qilishdir. Veb-platforma bu jarayonlarni yagona interfeys orqali birlashtiradi: administrator yoki kassa xodimi to‘lovni qayd etadi, o‘qituvchi davomat va baholarni kiritadi, o‘quvchi kontent va topshiriqlarga kiradi, ota-ona farzandi faolligi haqida cheklangan, lekin kerakli ma’lumotlarni oladi.</w:t>
      </w:r>
    </w:p>
    <w:p>
      <w:pPr>
        <w:spacing w:after="160" w:line="360" w:lineRule="auto"/>
        <w:ind w:firstLine="708"/>
      </w:pPr>
      <w:r>
        <w:rPr>
          <w:rFonts w:ascii="Times New Roman" w:cs="Times New Roman" w:eastAsia="Times New Roman" w:hAnsi="Times New Roman"/>
          <w:sz w:val="28"/>
          <w:szCs w:val="28"/>
        </w:rPr>
        <w:t xml:space="preserve">Respublika miqyosida ta’lim va fan sohasidagi statistik ma’lumotlar o‘quvchilar soni, ta’lim muassasalari tarmog‘i va boshqa ko‘rsatkichlarni tahlil qilish uchun asos bo‘lib xizmat qiladi [6]. Raqamli boshqaruv modellari esa ta’lim tashkilotining ichki jarayonlarini shaffoflashtirish va qaror qabul qilishni tezlashtirishga qaratilgan [5].</w:t>
      </w:r>
    </w:p>
    <w:p>
      <w:pPr>
        <w:spacing w:after="160" w:line="360" w:lineRule="auto"/>
        <w:ind w:firstLine="708"/>
      </w:pPr>
      <w:r>
        <w:rPr>
          <w:rFonts w:ascii="Times New Roman" w:cs="Times New Roman" w:eastAsia="Times New Roman" w:hAnsi="Times New Roman"/>
          <w:sz w:val="28"/>
          <w:szCs w:val="28"/>
        </w:rPr>
        <w:t xml:space="preserve">Normativ jihatdan axborot texnologiyalarini ta’lim jarayoniga joriy etish bo‘yicha vazirlik hujjatlari o‘qituvchi va talabalarning raqamli muhit bilan ishlashini rag‘batlantiradi; bu esa o‘quv markazlari uchun ham veb-xizmatlarni rivojlantirish bo‘yicha strategik yo‘nalish sifatida talqin qilinishi mumkin [4].</w:t>
      </w:r>
    </w:p>
    <w:p>
      <w:pPr>
        <w:spacing w:after="160" w:line="360" w:lineRule="auto"/>
        <w:ind w:firstLine="708"/>
      </w:pPr>
      <w:r>
        <w:rPr>
          <w:rFonts w:ascii="Times New Roman" w:cs="Times New Roman" w:eastAsia="Times New Roman" w:hAnsi="Times New Roman"/>
          <w:sz w:val="28"/>
          <w:szCs w:val="28"/>
        </w:rPr>
        <w:t xml:space="preserve">Shunday qilib, veb-platforma o‘quv markaziga nafaqat «sayt», balki ichki boshqaruv tizimining yadrosi sifatida qaraladi. Bu esa xatoliklarni kamaytirish, xizmat ko‘rsatish sifatini oshirish va mijozlar sodiqligini mustahkamlash imkonini beradi [4][5][6].</w:t>
      </w:r>
    </w:p>
    <w:p>
      <w:pPr>
        <w:pStyle w:val="Heading2"/>
        <w:spacing w:after="140" w:before="240" w:line="360" w:lineRule="auto"/>
      </w:pPr>
      <w:r>
        <w:rPr>
          <w:rFonts w:ascii="Times New Roman" w:cs="Times New Roman" w:eastAsia="Times New Roman" w:hAnsi="Times New Roman"/>
          <w:b/>
          <w:bCs/>
          <w:sz w:val="28"/>
          <w:szCs w:val="28"/>
        </w:rPr>
        <w:t xml:space="preserve">1.3. Raqamli ta’lim platformalarida qo‘llaniladigan dasturiy texnologiyalar (veb, ma’lumotlar bazasi, real vaqt aloqa)</w:t>
      </w:r>
    </w:p>
    <w:p>
      <w:pPr>
        <w:spacing w:after="160" w:line="360" w:lineRule="auto"/>
        <w:ind w:firstLine="708"/>
      </w:pPr>
      <w:r>
        <w:rPr>
          <w:rFonts w:ascii="Times New Roman" w:cs="Times New Roman" w:eastAsia="Times New Roman" w:hAnsi="Times New Roman"/>
          <w:sz w:val="28"/>
          <w:szCs w:val="28"/>
        </w:rPr>
        <w:t xml:space="preserve">Zamonaviy veb-ilovalar odatda klient–server arxitekturasida quriladi: brauzerda ishlaydigan yagona sahifali ilova (SPA) foydalanuvchi interfeysini ta’minlaydi, server esa biznes-qoidalarni va ma’lumotlarni boshqaradi. React kutubxonasi komponentlar asosidagi UI yaratish, virtual DOM va keng jamoat ekotizimini ta’minlash jihatidan kuchli tanlov hisoblanadi [7].</w:t>
      </w:r>
    </w:p>
    <w:p>
      <w:pPr>
        <w:spacing w:after="160" w:line="360" w:lineRule="auto"/>
        <w:ind w:firstLine="708"/>
      </w:pPr>
      <w:r>
        <w:rPr>
          <w:rFonts w:ascii="Times New Roman" w:cs="Times New Roman" w:eastAsia="Times New Roman" w:hAnsi="Times New Roman"/>
          <w:sz w:val="28"/>
          <w:szCs w:val="28"/>
        </w:rPr>
        <w:t xml:space="preserve">Ma’lumotlar qatlami uchun PostgreSQL relatsion ma’lumotlar bazasi murakkab so‘rovlar, butunlik cheklovlari (integrity) va kengaytiriladigan indekslash imkoniyatlari bilan tanilgan [8]. ORM (masalan, Prisma) sxemani kod bilan boshqarish, migratsiyalar va tip xavfsizligini yaxshilashda yordam beradi [17].</w:t>
      </w:r>
    </w:p>
    <w:p>
      <w:pPr>
        <w:spacing w:after="160" w:line="360" w:lineRule="auto"/>
        <w:ind w:firstLine="708"/>
      </w:pPr>
      <w:r>
        <w:rPr>
          <w:rFonts w:ascii="Times New Roman" w:cs="Times New Roman" w:eastAsia="Times New Roman" w:hAnsi="Times New Roman"/>
          <w:sz w:val="28"/>
          <w:szCs w:val="28"/>
        </w:rPr>
        <w:t xml:space="preserve">Real vaqt rejimida hodisalarni yetkazish uchun WebSocket asosidagi Socket.io texnologiyasi qo‘llaniladi: u brauzer va server o‘rtasida uzluksiz aloqa kanalini ochadi va bildirishnomalar, chat yoki jonli monitoring kabi ssenariylarni soddalashtiradi [9].</w:t>
      </w:r>
    </w:p>
    <w:p>
      <w:pPr>
        <w:spacing w:after="160" w:line="360" w:lineRule="auto"/>
        <w:ind w:firstLine="708"/>
      </w:pPr>
      <w:r>
        <w:rPr>
          <w:rFonts w:ascii="Times New Roman" w:cs="Times New Roman" w:eastAsia="Times New Roman" w:hAnsi="Times New Roman"/>
          <w:sz w:val="28"/>
          <w:szCs w:val="28"/>
        </w:rPr>
        <w:t xml:space="preserve">«Talim platformasi» loyihasida frontend qismi React 19, TypeScript, Vite va Tailwind CSS yig‘indisida; backend — Node.js muhitida Express freymvorki orqali REST API sifatida; ma’lumotlar saqlanishi PostgreSQL da; sxema va migratsiyalar Prisma orqali boshqariladi; real vaqt funksiyalari Socket.io bilan uyg‘unlashtirilgan. Bu tanlov ochiq manbali vositalar va rasmiy hujjatlar bilan qo‘llab-quvvatlanadi [7][8][9].</w:t>
      </w:r>
    </w:p>
    <w:p>
      <w:pPr>
        <w:pStyle w:val="Heading2"/>
        <w:spacing w:after="140" w:before="240" w:line="360" w:lineRule="auto"/>
      </w:pPr>
      <w:r>
        <w:rPr>
          <w:rFonts w:ascii="Times New Roman" w:cs="Times New Roman" w:eastAsia="Times New Roman" w:hAnsi="Times New Roman"/>
          <w:b/>
          <w:bCs/>
          <w:sz w:val="28"/>
          <w:szCs w:val="28"/>
        </w:rPr>
        <w:t xml:space="preserve">1.4. O‘quv markazlari uchun raqamli platformalarga qo‘yiladigan asosiy funksional va texnik talablar</w:t>
      </w:r>
    </w:p>
    <w:p>
      <w:pPr>
        <w:spacing w:after="160" w:line="360" w:lineRule="auto"/>
        <w:ind w:firstLine="708"/>
      </w:pPr>
      <w:r>
        <w:rPr>
          <w:rFonts w:ascii="Times New Roman" w:cs="Times New Roman" w:eastAsia="Times New Roman" w:hAnsi="Times New Roman"/>
          <w:sz w:val="28"/>
          <w:szCs w:val="28"/>
        </w:rPr>
        <w:t xml:space="preserve">Funksional talablar o‘quv markazi ssenariysiga bog‘liq bo‘lsa-da, quyidagi to‘plam asosiy hisoblanadi: foydalanuvchi autentifikatsiyasi va rollar bo‘yicha kirish cheklovi; kurslar va fanlar katalogi; yozilish va holatlar; dars jadvali va xonalar; to‘lovlar; xabarlar va fayllar; davomat; testlar va natijalar; sertifikatlar; chegirma va aksiyalar; yangiliklar; ota-ona bilan bog‘lanish.</w:t>
      </w:r>
    </w:p>
    <w:p>
      <w:pPr>
        <w:spacing w:after="160" w:line="360" w:lineRule="auto"/>
        <w:ind w:firstLine="708"/>
      </w:pPr>
      <w:r>
        <w:rPr>
          <w:rFonts w:ascii="Times New Roman" w:cs="Times New Roman" w:eastAsia="Times New Roman" w:hAnsi="Times New Roman"/>
          <w:sz w:val="28"/>
          <w:szCs w:val="28"/>
        </w:rPr>
        <w:t xml:space="preserve">Texnik talablardan xavfsizlik alohida o‘rin tutadi: parollarni ochiq saqlamaslik, transport darajasida HTTPS, keng tarqalgan veb-zaifliklardan xabardor bo‘lish va ularni oldini olish (OWASP TOP 10) tavsiya etiladi [10]. REST uslubidagi API larni loyihalashda resurslarga yo‘naltirilgan marshrutlar va to‘g‘ri HTTP metodlaridan foydalanish tizimning barqarorligini oshiradi [11].</w:t>
      </w:r>
    </w:p>
    <w:p>
      <w:pPr>
        <w:spacing w:after="160" w:line="360" w:lineRule="auto"/>
        <w:ind w:firstLine="708"/>
      </w:pPr>
      <w:r>
        <w:rPr>
          <w:rFonts w:ascii="Times New Roman" w:cs="Times New Roman" w:eastAsia="Times New Roman" w:hAnsi="Times New Roman"/>
          <w:sz w:val="28"/>
          <w:szCs w:val="28"/>
        </w:rPr>
        <w:t xml:space="preserve">Avtomatlashtirilgan tizimlarni yaratish bosqichlari (texnik topshiriqdan tortib foydalanishgacha) milliy standartlar bilan tartibga solinishi mumkin; bu diplom ishi doirasida loyiha hayot sikli va hujjatlashtirishni tuzishda yo‘riqchi sifatida qo‘llaniladi [12].</w:t>
      </w:r>
    </w:p>
    <w:p>
      <w:pPr>
        <w:spacing w:after="160" w:line="360" w:lineRule="auto"/>
        <w:ind w:firstLine="708"/>
      </w:pPr>
      <w:r>
        <w:rPr>
          <w:rFonts w:ascii="Times New Roman" w:cs="Times New Roman" w:eastAsia="Times New Roman" w:hAnsi="Times New Roman"/>
          <w:sz w:val="28"/>
          <w:szCs w:val="28"/>
        </w:rPr>
        <w:t xml:space="preserve">Shu bo‘limda bayon etilgan talablar keyingi bobda «Talim platformasi» modullari va texnik qarorlar bilan aniq modellarda ifodalanadi [10][11][12].</w:t>
      </w:r>
    </w:p>
    <w:p>
      <w:pPr>
        <w:pStyle w:val="Heading2"/>
        <w:spacing w:after="140" w:before="240" w:line="360" w:lineRule="auto"/>
      </w:pPr>
      <w:r>
        <w:rPr>
          <w:rFonts w:ascii="Times New Roman" w:cs="Times New Roman" w:eastAsia="Times New Roman" w:hAnsi="Times New Roman"/>
          <w:b/>
          <w:bCs/>
          <w:sz w:val="28"/>
          <w:szCs w:val="28"/>
        </w:rPr>
        <w:t xml:space="preserve">1.5. Mavjud yechimlar va analog tizimlarning qisqa tahlili hamda ularning cheklovlari</w:t>
      </w:r>
    </w:p>
    <w:p>
      <w:pPr>
        <w:spacing w:after="160" w:line="360" w:lineRule="auto"/>
        <w:ind w:firstLine="708"/>
      </w:pPr>
      <w:r>
        <w:rPr>
          <w:rFonts w:ascii="Times New Roman" w:cs="Times New Roman" w:eastAsia="Times New Roman" w:hAnsi="Times New Roman"/>
          <w:sz w:val="28"/>
          <w:szCs w:val="28"/>
        </w:rPr>
        <w:t xml:space="preserve">Moodle ochiq manbali LMS bo‘lib, kurs tuzilmalari, modullar va keng jamoat plaginlari bilan ajralib turadi; ammo tijoriy o‘quv markazi uchun to‘g‘ridan-to‘g‘ri to‘lov, kassa va maxsus rollar ssenariylarini «out of the box» qamrab olish har doim ham qulay emas [13].</w:t>
      </w:r>
    </w:p>
    <w:p>
      <w:pPr>
        <w:spacing w:after="160" w:line="360" w:lineRule="auto"/>
        <w:ind w:firstLine="708"/>
      </w:pPr>
      <w:r>
        <w:rPr>
          <w:rFonts w:ascii="Times New Roman" w:cs="Times New Roman" w:eastAsia="Times New Roman" w:hAnsi="Times New Roman"/>
          <w:sz w:val="28"/>
          <w:szCs w:val="28"/>
        </w:rPr>
        <w:t xml:space="preserve">Google Classroom o‘qituvchi va o‘quvchi o‘rtasidagi topshiriq almashinuvini soddalashtiradi, lekin markazning ichki moliya va murakkab guruh boshqaruvi uchun yetarli emas [14]. Canvas LMS kuchli pedagogik vositalarga ega bo‘lsa-da, litsenziyalash va sozlash xarajati kichik markazlar uchun cheklov bo‘lishi mumkin [15].</w:t>
      </w:r>
    </w:p>
    <w:p>
      <w:pPr>
        <w:spacing w:after="160" w:line="360" w:lineRule="auto"/>
        <w:ind w:firstLine="708"/>
      </w:pPr>
      <w:r>
        <w:rPr>
          <w:rFonts w:ascii="Times New Roman" w:cs="Times New Roman" w:eastAsia="Times New Roman" w:hAnsi="Times New Roman"/>
          <w:sz w:val="28"/>
          <w:szCs w:val="28"/>
        </w:rPr>
        <w:t xml:space="preserve">Shuning uchun maxsus veb-platforma ishlab chiqish orqali: (a) o‘quv markazi jarayonlariga yaqin modullarni birlashtirish; (b) ma’lumotlarni o‘z serverida saqlash va siyosatni mustaqil boshqarish; (v) keyinchalik integratsiyalar (masalan, messenjer-botlar) qo‘shish imkoniyati — afzallik sifatida ko‘rsatiladi.</w:t>
      </w:r>
    </w:p>
    <w:p>
      <w:pPr>
        <w:spacing w:after="160" w:line="360" w:lineRule="auto"/>
        <w:ind w:firstLine="708"/>
      </w:pPr>
      <w:r>
        <w:rPr>
          <w:rFonts w:ascii="Times New Roman" w:cs="Times New Roman" w:eastAsia="Times New Roman" w:hAnsi="Times New Roman"/>
          <w:sz w:val="28"/>
          <w:szCs w:val="28"/>
        </w:rPr>
        <w:t xml:space="preserve">Analoglarning umumiy cheklovi — standart ssenariy va qo‘shimcha funksiyalar uchun qo‘shimcha modullar yoki tashqi xizmatlarga bog‘liqlikdir. «Talim platformasi» esa lokal ehtiyojlarga moslashuvchan modul yondashuvi bilan farqlanadi [13][14][15].</w:t>
      </w:r>
    </w:p>
    <w:p>
      <w:r>
        <w:br w:type="page"/>
      </w:r>
    </w:p>
    <w:p>
      <w:pPr>
        <w:pStyle w:val="Heading1"/>
        <w:spacing w:after="200" w:before="360" w:line="360" w:lineRule="auto"/>
      </w:pPr>
      <w:r>
        <w:rPr>
          <w:rFonts w:ascii="Times New Roman" w:cs="Times New Roman" w:eastAsia="Times New Roman" w:hAnsi="Times New Roman"/>
          <w:b/>
          <w:bCs/>
          <w:sz w:val="32"/>
          <w:szCs w:val="32"/>
        </w:rPr>
        <w:t xml:space="preserve">II BOB. O‘QUV MARKAZLARI UCHUN RAQAMLI TA’LIM PLATFORMASINI ISHLAB CHIQISH</w:t>
      </w:r>
    </w:p>
    <w:p>
      <w:pPr>
        <w:pStyle w:val="Heading2"/>
        <w:spacing w:after="140" w:before="240" w:line="360" w:lineRule="auto"/>
      </w:pPr>
      <w:r>
        <w:rPr>
          <w:rFonts w:ascii="Times New Roman" w:cs="Times New Roman" w:eastAsia="Times New Roman" w:hAnsi="Times New Roman"/>
          <w:b/>
          <w:bCs/>
          <w:sz w:val="28"/>
          <w:szCs w:val="28"/>
        </w:rPr>
        <w:t xml:space="preserve">2.1. O‘quv markazlari uchun raqamli ta’lim platformasining umumiy arxitekturasi (klient–server, API, xavfsizlik va rollar tuzilmasi)</w:t>
      </w:r>
    </w:p>
    <w:p>
      <w:pPr>
        <w:spacing w:after="160" w:line="360" w:lineRule="auto"/>
        <w:ind w:firstLine="708"/>
      </w:pPr>
      <w:r>
        <w:rPr>
          <w:rFonts w:ascii="Times New Roman" w:cs="Times New Roman" w:eastAsia="Times New Roman" w:hAnsi="Times New Roman"/>
          <w:sz w:val="28"/>
          <w:szCs w:val="28"/>
        </w:rPr>
        <w:t xml:space="preserve">«Talim platformasi» klient–server arxitekturasida qurilgan. Klient qismi brauzerda ishlaydigan SPA bo‘lib, foydalanuvchi interfeysi React kutubxonasi yordamida komponentlashgan; marshrutlash React Router orqali amalga oshiriladi. Server qismi Node.js muhitida Express asosida REST API ni ta’minlaydi; ma’lumotlar PostgreSQL da saqlanadi; real vaqt hodisalari uchun Socket.io serveri ishga tushiriladi [18].</w:t>
      </w:r>
    </w:p>
    <w:p>
      <w:pPr>
        <w:spacing w:after="160" w:line="360" w:lineRule="auto"/>
        <w:ind w:firstLine="708"/>
      </w:pPr>
      <w:r>
        <w:rPr>
          <w:rFonts w:ascii="Times New Roman" w:cs="Times New Roman" w:eastAsia="Times New Roman" w:hAnsi="Times New Roman"/>
          <w:sz w:val="28"/>
          <w:szCs w:val="28"/>
        </w:rPr>
        <w:t xml:space="preserve">Mikroservislar yondashuvi katta tizimlarda modullarni mustaqil joylashtirish imkonini beradi, biroq kichik jamoa uchun monolit server va aniq chegaralangan modullar (controller/route bo‘linmalari) boshqaruvni soddalashtiradi [16]. Loyihada asosiy modullar mavzuga oid controller va route fayllariga bo‘lingan.</w:t>
      </w:r>
    </w:p>
    <w:p>
      <w:pPr>
        <w:spacing w:after="160" w:line="360" w:lineRule="auto"/>
        <w:ind w:firstLine="708"/>
      </w:pPr>
      <w:r>
        <w:rPr>
          <w:rFonts w:ascii="Times New Roman" w:cs="Times New Roman" w:eastAsia="Times New Roman" w:hAnsi="Times New Roman"/>
          <w:sz w:val="28"/>
          <w:szCs w:val="28"/>
        </w:rPr>
        <w:t xml:space="preserve">Autentifikatsiya JWT asosida: foydalanuvchi login qilgach server JWT beradi, keyingi so‘rovlarda token tekshiriladi. Parollar xeshlangan holda saqlanadi. Qisman maxsus ruxsatlar massivi (permissions) va override bayrog‘i foydalanuvchi darajasida admin boshqaruvini chuqurlashtirish imkonini beradi [17].</w:t>
      </w:r>
    </w:p>
    <w:p>
      <w:pPr>
        <w:spacing w:after="160" w:line="360" w:lineRule="auto"/>
        <w:ind w:firstLine="708"/>
      </w:pPr>
      <w:r>
        <w:rPr>
          <w:rFonts w:ascii="Times New Roman" w:cs="Times New Roman" w:eastAsia="Times New Roman" w:hAnsi="Times New Roman"/>
          <w:sz w:val="28"/>
          <w:szCs w:val="28"/>
        </w:rPr>
        <w:t xml:space="preserve">Rollar enumi sifatida belgilangan: student, teacher, admin, cashier, receptionist, parent. Har bir rol uchun UI va API cheklovlari boshqacha: masalan, davomatni odatda o‘qituvchi yuritadi, to‘lovni kassa, monitoringni admin. Bu yondashuv tizimning xavfsizlik perimetrini soddalashtiradi [16][17][18].</w:t>
      </w:r>
    </w:p>
    <w:p>
      <w:pPr>
        <w:spacing w:after="160" w:line="360" w:lineRule="auto"/>
        <w:ind w:firstLine="708"/>
      </w:pPr>
      <w:r>
        <w:rPr>
          <w:rFonts w:ascii="Times New Roman" w:cs="Times New Roman" w:eastAsia="Times New Roman" w:hAnsi="Times New Roman"/>
          <w:sz w:val="28"/>
          <w:szCs w:val="28"/>
        </w:rPr>
        <w:t xml:space="preserve">Tashqi integratsiya sifatida Telegram-bot va fayl yuklash (multer) kabi komponentlar mavjud bo‘lishi mumkin; ularning xavfsizligi tokenlarni muhit o‘zgaruvchilarda saqlash va tarmoq cheklovlarini qo‘llash bilan bog‘liq.</w:t>
      </w:r>
    </w:p>
    <w:p>
      <w:pPr>
        <w:pStyle w:val="Heading2"/>
        <w:spacing w:after="140" w:before="240" w:line="360" w:lineRule="auto"/>
      </w:pPr>
      <w:r>
        <w:rPr>
          <w:rFonts w:ascii="Times New Roman" w:cs="Times New Roman" w:eastAsia="Times New Roman" w:hAnsi="Times New Roman"/>
          <w:b/>
          <w:bCs/>
          <w:sz w:val="28"/>
          <w:szCs w:val="28"/>
        </w:rPr>
        <w:t xml:space="preserve">2.2. O‘quv markazlari uchun raqamli ta’lim platformasining ma’lumotlar bazasini loyihalash</w:t>
      </w:r>
    </w:p>
    <w:p>
      <w:pPr>
        <w:spacing w:after="160" w:line="360" w:lineRule="auto"/>
        <w:ind w:firstLine="708"/>
      </w:pPr>
      <w:r>
        <w:rPr>
          <w:rFonts w:ascii="Times New Roman" w:cs="Times New Roman" w:eastAsia="Times New Roman" w:hAnsi="Times New Roman"/>
          <w:sz w:val="28"/>
          <w:szCs w:val="28"/>
        </w:rPr>
        <w:t xml:space="preserve">Ma’lumotlar bazasi relatsion model asosida loyihalangan. User jadvali foydalanuvchi shaxsini, rolini, profil maydonlarini, o‘yinlashtirish (xp, coins, badges) va tavsiya kodlarini saqlaydi. TeacherDetails alohida jadvalda o‘qituvchining mutaxassisligi va tajribasi kabi maydonlarni User bilan 1:1 bog‘laydi.</w:t>
      </w:r>
    </w:p>
    <w:p>
      <w:pPr>
        <w:spacing w:after="160" w:line="360" w:lineRule="auto"/>
        <w:ind w:firstLine="708"/>
      </w:pPr>
      <w:r>
        <w:rPr>
          <w:rFonts w:ascii="Times New Roman" w:cs="Times New Roman" w:eastAsia="Times New Roman" w:hAnsi="Times New Roman"/>
          <w:sz w:val="28"/>
          <w:szCs w:val="28"/>
        </w:rPr>
        <w:t xml:space="preserve">Subject va Course obyektlari fan va kurs tuzilmasini ifodalaydi: Course maydonlarida daraja (Beginner/Intermediate/Advanced), turi (online/offline), narx va o‘qituvchi bog‘lanishi mavjud. Enrollment yozilishni userId va courseId bo‘yicha noyob qilib, status (active/completed/cancelled) bilan kuzatadi [19].</w:t>
      </w:r>
    </w:p>
    <w:p>
      <w:pPr>
        <w:spacing w:after="160" w:line="360" w:lineRule="auto"/>
        <w:ind w:firstLine="708"/>
      </w:pPr>
      <w:r>
        <w:rPr>
          <w:rFonts w:ascii="Times New Roman" w:cs="Times New Roman" w:eastAsia="Times New Roman" w:hAnsi="Times New Roman"/>
          <w:sz w:val="28"/>
          <w:szCs w:val="28"/>
        </w:rPr>
        <w:t xml:space="preserve">To‘lovlar Payment orqali, xabarlar Message va suhbat obyektlari orqali, davomat Attendance yozuvlari orqali ifodalanadi. Location, Room va Schedule oflayn darslar uchun joy va vaqt resurslarini bog‘lash imkonini beradi. SQL va relatsion nazariyasiga asoslangan holda, butunlik cheklovlari va indekslar orqali so‘rovlar samaradorligi ta’minlanadi [20].</w:t>
      </w:r>
    </w:p>
    <w:p>
      <w:pPr>
        <w:spacing w:after="160" w:line="360" w:lineRule="auto"/>
        <w:ind w:firstLine="708"/>
      </w:pPr>
      <w:r>
        <w:rPr>
          <w:rFonts w:ascii="Times New Roman" w:cs="Times New Roman" w:eastAsia="Times New Roman" w:hAnsi="Times New Roman"/>
          <w:sz w:val="28"/>
          <w:szCs w:val="28"/>
        </w:rPr>
        <w:t xml:space="preserve">Prisma sxemasi migratsiyalar orqali versiyalanadi; bu esa ishlab chiqish jamoasi uchun sxema o‘zgarishlarini nazorat qilish imkonini beradi [17]. Ma’lumotlar bazasi loyihalashining amaliy tomoni — ER-diagramma va har bir jadval uchun qisqa izoh diplom ilovasida skrinshot va jadval ko‘rinishida kengaytirilishi mumkin [19][20][21].</w:t>
      </w:r>
    </w:p>
    <w:p>
      <w:pPr>
        <w:spacing w:after="160" w:line="360" w:lineRule="auto"/>
        <w:ind w:firstLine="708"/>
      </w:pPr>
      <w:r>
        <w:rPr>
          <w:rFonts w:ascii="Times New Roman" w:cs="Times New Roman" w:eastAsia="Times New Roman" w:hAnsi="Times New Roman"/>
          <w:sz w:val="28"/>
          <w:szCs w:val="28"/>
        </w:rPr>
        <w:t xml:space="preserve">Lesson modeli har bir kurs bo‘yicha darslar ro‘yxatini saqlaydi: sarlavha, video havolasi yoki jonli dars havolasi, «video» yoki «live» turi. Schedule jadvali o‘qituvchi, kurs, xona va vaqt oralig‘ini bog‘laydi; Location va Room obyektlari oflayn o‘qitish infratuzilmasini ifodalaydi.</w:t>
      </w:r>
    </w:p>
    <w:p>
      <w:pPr>
        <w:spacing w:after="160" w:line="360" w:lineRule="auto"/>
        <w:ind w:firstLine="708"/>
      </w:pPr>
      <w:r>
        <w:rPr>
          <w:rFonts w:ascii="Times New Roman" w:cs="Times New Roman" w:eastAsia="Times New Roman" w:hAnsi="Times New Roman"/>
          <w:sz w:val="28"/>
          <w:szCs w:val="28"/>
        </w:rPr>
        <w:t xml:space="preserve">Test, TestResult, QuizAttempt va Battle kabi obyektlar baholash va o‘yinlashtirishni qo‘llab-quvvatlaydi: testlar fan yoki kurs bilan bog‘lanishi, urinishlar tarixini saqlash imkoniyati pedagogik hisobot uchun muhim. Certificate yozuvlari kursni tugatganlikni rasmiylashtirish uchun ishlatiladi.</w:t>
      </w:r>
    </w:p>
    <w:p>
      <w:pPr>
        <w:spacing w:after="160" w:line="360" w:lineRule="auto"/>
        <w:ind w:firstLine="708"/>
      </w:pPr>
      <w:r>
        <w:rPr>
          <w:rFonts w:ascii="Times New Roman" w:cs="Times New Roman" w:eastAsia="Times New Roman" w:hAnsi="Times New Roman"/>
          <w:sz w:val="28"/>
          <w:szCs w:val="28"/>
        </w:rPr>
        <w:t xml:space="preserve">Moliya va marketing jihatidan DiscountCampaign va DiscountAward yozuvlari aksiya shartlari va foydalanuvchiga tegishli mukofotlarni saqlash imkonini beradi. News va NewsParticipant yangiliklar oqimi va ishtirokchilarni kuzatish uchun mo‘ljallangan.</w:t>
      </w:r>
    </w:p>
    <w:p>
      <w:pPr>
        <w:spacing w:after="160" w:line="360" w:lineRule="auto"/>
        <w:ind w:firstLine="708"/>
      </w:pPr>
      <w:r>
        <w:rPr>
          <w:rFonts w:ascii="Times New Roman" w:cs="Times New Roman" w:eastAsia="Times New Roman" w:hAnsi="Times New Roman"/>
          <w:sz w:val="28"/>
          <w:szCs w:val="28"/>
        </w:rPr>
        <w:t xml:space="preserve">Feedback moduli fikr-mulohaza va javob zanjirini saqlashi mumkin; Message, Conversation va ConversationMember suhbat tuzilmasini ifodalaydi. Notification yozuvlari foydalanuvchiga yo‘naltirilgan bildirishnomalar tarixini saqlash uchun ishlatiladi. Barcha bu bog‘lanishlar relatsion butunlik va indekslar bilan qo‘llab-quvvatlanishi kerak [19][20][21].</w:t>
      </w:r>
    </w:p>
    <w:p>
      <w:pPr>
        <w:pStyle w:val="Heading2"/>
        <w:spacing w:after="140" w:before="240" w:line="360" w:lineRule="auto"/>
      </w:pPr>
      <w:r>
        <w:rPr>
          <w:rFonts w:ascii="Times New Roman" w:cs="Times New Roman" w:eastAsia="Times New Roman" w:hAnsi="Times New Roman"/>
          <w:b/>
          <w:bCs/>
          <w:sz w:val="28"/>
          <w:szCs w:val="28"/>
        </w:rPr>
        <w:t xml:space="preserve">2.3. O‘quv markazlari uchun raqamli ta’lim platformasini ishlab chiqish (frontend va backend dasturiy modullari)</w:t>
      </w:r>
    </w:p>
    <w:p>
      <w:pPr>
        <w:spacing w:after="160" w:line="360" w:lineRule="auto"/>
        <w:ind w:firstLine="708"/>
      </w:pPr>
      <w:r>
        <w:rPr>
          <w:rFonts w:ascii="Times New Roman" w:cs="Times New Roman" w:eastAsia="Times New Roman" w:hAnsi="Times New Roman"/>
          <w:sz w:val="28"/>
          <w:szCs w:val="28"/>
        </w:rPr>
        <w:t xml:space="preserve">Backend modullari REST marshrutlari orqali ifodalanadi: autentifikatsiya, kurslar, yozilish, to‘lovlar, xabarlar, davomat, testlar, reyting, admin va boshqa kontrollerlar. Har bir modul o‘z validation va xato javoblariga ega bo‘lishi lozim. Dasturiy dizayn tamoyillari (ajratish, qayta ishlatish) kodi o‘qilishini yaxshilaydi [22].</w:t>
      </w:r>
    </w:p>
    <w:p>
      <w:pPr>
        <w:spacing w:after="160" w:line="360" w:lineRule="auto"/>
        <w:ind w:firstLine="708"/>
      </w:pPr>
      <w:r>
        <w:rPr>
          <w:rFonts w:ascii="Times New Roman" w:cs="Times New Roman" w:eastAsia="Times New Roman" w:hAnsi="Times New Roman"/>
          <w:sz w:val="28"/>
          <w:szCs w:val="28"/>
        </w:rPr>
        <w:t xml:space="preserve">Frontend TypeScript bilan yozilgani statik tekshruv orqali xatolarni erta bosqichda aniqlash imkonini beradi [23]. Vite yig‘ish tezligi va zamonaviy ESM muhitini ta’minlaydi [24]. Foydalanuvchi uchun sahifalar: autentifikatsiya, bosh sahifa, kurslar, o‘qituvchilar, kutubxona, xabarlar, admin va boshqa rollarga xos panellar.</w:t>
      </w:r>
    </w:p>
    <w:p>
      <w:pPr>
        <w:spacing w:after="160" w:line="360" w:lineRule="auto"/>
        <w:ind w:firstLine="708"/>
      </w:pPr>
      <w:r>
        <w:rPr>
          <w:rFonts w:ascii="Times New Roman" w:cs="Times New Roman" w:eastAsia="Times New Roman" w:hAnsi="Times New Roman"/>
          <w:sz w:val="28"/>
          <w:szCs w:val="28"/>
        </w:rPr>
        <w:t xml:space="preserve">UI komponentlari qayta ishlatiladigan tugmalar, kartalar va shakllar bilan birlashtirilgan; bu esa interfeysning vizual uyg‘unligini saqlashga yordam beradi. Real vaqt hodisalari uchun klient tomonda socket.io-client kutubxonasidan foydalaniladi.</w:t>
      </w:r>
    </w:p>
    <w:p>
      <w:pPr>
        <w:spacing w:after="160" w:line="360" w:lineRule="auto"/>
        <w:ind w:firstLine="708"/>
      </w:pPr>
      <w:r>
        <w:rPr>
          <w:rFonts w:ascii="Times New Roman" w:cs="Times New Roman" w:eastAsia="Times New Roman" w:hAnsi="Times New Roman"/>
          <w:sz w:val="28"/>
          <w:szCs w:val="28"/>
        </w:rPr>
        <w:t xml:space="preserve">Dasturiy modullarning integratsiyasi: frontend API bazaviy URL orqali serverga murojaat qiladi; fayl yuklash multipart/form-data formatida qayta ishlanadi. Xatoliklar foydalanuvchiga tushunarli xabar bilan qaytarilishi tavsiya etiladi [22][23][24].</w:t>
      </w:r>
    </w:p>
    <w:p>
      <w:pPr>
        <w:spacing w:after="160" w:line="360" w:lineRule="auto"/>
        <w:ind w:firstLine="708"/>
      </w:pPr>
      <w:r>
        <w:rPr>
          <w:rFonts w:ascii="Times New Roman" w:cs="Times New Roman" w:eastAsia="Times New Roman" w:hAnsi="Times New Roman"/>
          <w:sz w:val="28"/>
          <w:szCs w:val="28"/>
        </w:rPr>
        <w:t xml:space="preserve">Real vaqt xizmati (Socket.io) hodisalarni serverdan klientlarga uzatishda ishlatiladi: masalan, yangi xabar, yangilanish yoki monitoring ko‘rsatkichlari. Bu HTTP ning so‘rov-javob sikliga qaraganda kechikishni kamaytirishga yordam beradi, biroq autentifikatsiya va xona (room) bo‘yicha cheklovlar qo‘yilishi shart.</w:t>
      </w:r>
    </w:p>
    <w:p>
      <w:pPr>
        <w:spacing w:after="160" w:line="360" w:lineRule="auto"/>
        <w:ind w:firstLine="708"/>
      </w:pPr>
      <w:r>
        <w:rPr>
          <w:rFonts w:ascii="Times New Roman" w:cs="Times New Roman" w:eastAsia="Times New Roman" w:hAnsi="Times New Roman"/>
          <w:sz w:val="28"/>
          <w:szCs w:val="28"/>
        </w:rPr>
        <w:t xml:space="preserve">Telegram-bot integratsiyasi (agar loyihada mavjud bo‘lsa) xabarnomalarni tashqi kanal orqali yetkazish imkonini beradi; bunda bot tokenlari muhit o‘zgaruvchilarida saqlanishi va loglarda ochiq chiqarilmasligi talab etiladi.</w:t>
      </w:r>
    </w:p>
    <w:p>
      <w:pPr>
        <w:pStyle w:val="Heading2"/>
        <w:spacing w:after="140" w:before="240" w:line="360" w:lineRule="auto"/>
      </w:pPr>
      <w:r>
        <w:rPr>
          <w:rFonts w:ascii="Times New Roman" w:cs="Times New Roman" w:eastAsia="Times New Roman" w:hAnsi="Times New Roman"/>
          <w:b/>
          <w:bCs/>
          <w:sz w:val="28"/>
          <w:szCs w:val="28"/>
        </w:rPr>
        <w:t xml:space="preserve">2.4. Tizimni sinovdan o‘tkazish va olingan natijalarni tahlil qilish</w:t>
      </w:r>
    </w:p>
    <w:p>
      <w:pPr>
        <w:spacing w:after="160" w:line="360" w:lineRule="auto"/>
        <w:ind w:firstLine="708"/>
      </w:pPr>
      <w:r>
        <w:rPr>
          <w:rFonts w:ascii="Times New Roman" w:cs="Times New Roman" w:eastAsia="Times New Roman" w:hAnsi="Times New Roman"/>
          <w:sz w:val="28"/>
          <w:szCs w:val="28"/>
        </w:rPr>
        <w:t xml:space="preserve">Sinov strategiyasi funksional sinovlardan iborat: autentifikatsiya, kursga yozilish, to‘lov yaratish, xabar yuborish, davomat belgilash kabi asosiy ssenariylar ketma-ket bajarilib, kutilgan holatlar bilan solishtiriladi. Sinov sanalari va muhit (development/production) hujjatlashtirilishi kerak [25].</w:t>
      </w:r>
    </w:p>
    <w:p>
      <w:pPr>
        <w:spacing w:after="160" w:line="360" w:lineRule="auto"/>
        <w:ind w:firstLine="708"/>
      </w:pPr>
      <w:r>
        <w:rPr>
          <w:rFonts w:ascii="Times New Roman" w:cs="Times New Roman" w:eastAsia="Times New Roman" w:hAnsi="Times New Roman"/>
          <w:sz w:val="28"/>
          <w:szCs w:val="28"/>
        </w:rPr>
        <w:t xml:space="preserve">ISO/IEC/IEEE 29119 standarti sinov jarayonining umumiy tushunchalarini belgilaydi; diplom ishi doirasida sinov hujjatlari (test-kese, kutilgan natija) shu tamoyillarga yaqin tartibda tuzilishi mumkin [26]. ISTQB Foundation darajasidagi tasniflar sinov turini tanlashda (smoke, regressiya) yo‘riqchi bo‘lib xizmat qiladi [27].</w:t>
      </w:r>
    </w:p>
    <w:p>
      <w:pPr>
        <w:spacing w:after="160" w:line="360" w:lineRule="auto"/>
        <w:ind w:firstLine="708"/>
      </w:pPr>
      <w:r>
        <w:rPr>
          <w:rFonts w:ascii="Times New Roman" w:cs="Times New Roman" w:eastAsia="Times New Roman" w:hAnsi="Times New Roman"/>
          <w:sz w:val="28"/>
          <w:szCs w:val="28"/>
        </w:rPr>
        <w:t xml:space="preserve">Yuk sinovi (stress) ixtiyoriy bo‘lib, server resurslari va asosiy API lar uchun so‘rov intensivligini o‘lchaydi. Agar amalga oshirilmagan bo‘lsa, cheklov sifatida halol ko‘rsatiladi va keyingi ish sifatida rejalashtiriladi.</w:t>
      </w:r>
    </w:p>
    <w:p>
      <w:pPr>
        <w:spacing w:after="160" w:line="360" w:lineRule="auto"/>
        <w:ind w:firstLine="708"/>
      </w:pPr>
      <w:r>
        <w:rPr>
          <w:rFonts w:ascii="Times New Roman" w:cs="Times New Roman" w:eastAsia="Times New Roman" w:hAnsi="Times New Roman"/>
          <w:sz w:val="28"/>
          <w:szCs w:val="28"/>
        </w:rPr>
        <w:t xml:space="preserve">Sinov natijalari jadval ko‘rinishida: ssenariy, muvaffaqiyat/yo‘q, izoh — shaklda berilishi tavsiya etiladi. Muvaffaqiyatsiz holatlar sababi (masalan, validatsiya, ruxsat) tahlil qilinadi va tuzatish choralari ko‘rsatiladi [25][26][27].</w:t>
      </w:r>
    </w:p>
    <w:p>
      <w:pPr>
        <w:pStyle w:val="Heading2"/>
        <w:spacing w:after="140" w:before="240" w:line="360" w:lineRule="auto"/>
      </w:pPr>
      <w:r>
        <w:rPr>
          <w:rFonts w:ascii="Times New Roman" w:cs="Times New Roman" w:eastAsia="Times New Roman" w:hAnsi="Times New Roman"/>
          <w:b/>
          <w:bCs/>
          <w:sz w:val="28"/>
          <w:szCs w:val="28"/>
        </w:rPr>
        <w:t xml:space="preserve">2.4.1. Ishlab chiqish muhiti va boshqaruv</w:t>
      </w:r>
    </w:p>
    <w:p>
      <w:pPr>
        <w:spacing w:after="160" w:line="360" w:lineRule="auto"/>
        <w:ind w:firstLine="708"/>
      </w:pPr>
      <w:r>
        <w:rPr>
          <w:rFonts w:ascii="Times New Roman" w:cs="Times New Roman" w:eastAsia="Times New Roman" w:hAnsi="Times New Roman"/>
          <w:sz w:val="28"/>
          <w:szCs w:val="28"/>
        </w:rPr>
        <w:t xml:space="preserve">Ishlab chiqish muhiti sifatida zamonaviy brauzerlar, Node.js va mahalliy yoki konteynerdagi PostgreSQL ishlatiladi. Muhit o‘zgaruvchilari (.env) orqali ma’lumotlar bazasi ulanishi, JWT maxfiy kaliti va tashqi xizmat tokenlari saqlanadi; maxfiy qiymatlarni repozitoriyga commit qilmaslik talab etiladi.</w:t>
      </w:r>
    </w:p>
    <w:p>
      <w:pPr>
        <w:spacing w:after="160" w:line="360" w:lineRule="auto"/>
        <w:ind w:firstLine="708"/>
      </w:pPr>
      <w:r>
        <w:rPr>
          <w:rFonts w:ascii="Times New Roman" w:cs="Times New Roman" w:eastAsia="Times New Roman" w:hAnsi="Times New Roman"/>
          <w:sz w:val="28"/>
          <w:szCs w:val="28"/>
        </w:rPr>
        <w:t xml:space="preserve">Git orqali o‘zgarishlar tarixini yuritish va kod ko‘rish jarayoni sifatni oshiradi. Docker Compose muhitini bir xillashtirish uchun qo‘llanilishi mumkin — diplomda aniq xizmat nomlari va portlar keltirilishi tavsiya etiladi.</w:t>
      </w:r>
    </w:p>
    <w:p>
      <w:pPr>
        <w:spacing w:after="160" w:line="360" w:lineRule="auto"/>
        <w:ind w:firstLine="708"/>
      </w:pPr>
      <w:r>
        <w:rPr>
          <w:rFonts w:ascii="Times New Roman" w:cs="Times New Roman" w:eastAsia="Times New Roman" w:hAnsi="Times New Roman"/>
          <w:sz w:val="28"/>
          <w:szCs w:val="28"/>
        </w:rPr>
        <w:t xml:space="preserve">Marshrutlar va kontrollerlarning mantiqiy tuzilishi keyingi kengaytirish uchun muhim. API ni hujjatlashtirish (oddiy jadval yoki OpenAPI) frontend bilan integratsiyani tezlashtiradi.</w:t>
      </w:r>
    </w:p>
    <w:p>
      <w:pPr>
        <w:pStyle w:val="Heading2"/>
        <w:spacing w:after="140" w:before="240" w:line="360" w:lineRule="auto"/>
      </w:pPr>
      <w:r>
        <w:rPr>
          <w:rFonts w:ascii="Times New Roman" w:cs="Times New Roman" w:eastAsia="Times New Roman" w:hAnsi="Times New Roman"/>
          <w:b/>
          <w:bCs/>
          <w:sz w:val="28"/>
          <w:szCs w:val="28"/>
        </w:rPr>
        <w:t xml:space="preserve">2.4.2. Loyihaning cheklovlari</w:t>
      </w:r>
    </w:p>
    <w:p>
      <w:pPr>
        <w:spacing w:after="160" w:line="360" w:lineRule="auto"/>
        <w:ind w:firstLine="708"/>
      </w:pPr>
      <w:r>
        <w:rPr>
          <w:rFonts w:ascii="Times New Roman" w:cs="Times New Roman" w:eastAsia="Times New Roman" w:hAnsi="Times New Roman"/>
          <w:sz w:val="28"/>
          <w:szCs w:val="28"/>
        </w:rPr>
        <w:t xml:space="preserve">To‘liq bank integratsiyasi, mobil ilova yoki yuqori yuk sinovi hozircha cheklangan bo‘lishi mumkin; bunday holatlar halol yoziladi va keyingi rivojlanish sifatida rejalashtiriladi.</w:t>
      </w:r>
    </w:p>
    <w:p>
      <w:r>
        <w:br w:type="page"/>
      </w:r>
    </w:p>
    <w:p>
      <w:pPr>
        <w:pStyle w:val="Heading1"/>
        <w:spacing w:after="200" w:before="360" w:line="360" w:lineRule="auto"/>
      </w:pPr>
      <w:r>
        <w:rPr>
          <w:rFonts w:ascii="Times New Roman" w:cs="Times New Roman" w:eastAsia="Times New Roman" w:hAnsi="Times New Roman"/>
          <w:b/>
          <w:bCs/>
          <w:sz w:val="32"/>
          <w:szCs w:val="32"/>
        </w:rPr>
        <w:t xml:space="preserve">XULOSA</w:t>
      </w:r>
    </w:p>
    <w:p>
      <w:pPr>
        <w:spacing w:after="160" w:line="360" w:lineRule="auto"/>
        <w:ind w:firstLine="708"/>
      </w:pPr>
      <w:r>
        <w:rPr>
          <w:rFonts w:ascii="Times New Roman" w:cs="Times New Roman" w:eastAsia="Times New Roman" w:hAnsi="Times New Roman"/>
          <w:sz w:val="28"/>
          <w:szCs w:val="28"/>
        </w:rPr>
        <w:t xml:space="preserve">Ilmiy ishda raqamli ta’lim platformalarining nazariy asoslari, ularning o‘quv markazi faoliyatidagi o‘rni, zamonaviy veb va ma’lumotlar bazasi texnologiyalari, xavfsizlik va talablar tahlil qilindi. Analog yechimlar bilan taqqoslash maxsus platforma ishlab chiqish zaruratini asosladi.</w:t>
      </w:r>
    </w:p>
    <w:p>
      <w:pPr>
        <w:spacing w:after="160" w:line="360" w:lineRule="auto"/>
        <w:ind w:firstLine="708"/>
      </w:pPr>
      <w:r>
        <w:rPr>
          <w:rFonts w:ascii="Times New Roman" w:cs="Times New Roman" w:eastAsia="Times New Roman" w:hAnsi="Times New Roman"/>
          <w:sz w:val="28"/>
          <w:szCs w:val="28"/>
        </w:rPr>
        <w:t xml:space="preserve">Amaliy qismda «Talim platformasi» arxitekturasi, PostgreSQL va Prisma yordamidagi ma’lumotlar modeli, Express REST API va React SPA ning birgalikdagi ishlashi, rollar va ruxsatlar mexanizmi, real vaqt funksiyalari hamda sinov yondashuvi yoritildi.</w:t>
      </w:r>
    </w:p>
    <w:p>
      <w:pPr>
        <w:spacing w:after="160" w:line="360" w:lineRule="auto"/>
        <w:ind w:firstLine="708"/>
      </w:pPr>
      <w:r>
        <w:rPr>
          <w:rFonts w:ascii="Times New Roman" w:cs="Times New Roman" w:eastAsia="Times New Roman" w:hAnsi="Times New Roman"/>
          <w:sz w:val="28"/>
          <w:szCs w:val="28"/>
        </w:rPr>
        <w:t xml:space="preserve">Kelajakda mobil ilova, chuqur analitika, hisobotlar eksporti va yuk sinovlarini kengaytirish orqali tizim salohiyatini oshirish mumkin. Loyihaning barqarorligi va xavfsizligi doimiy kuzatuv va yangilanishlarni talab qiladi.</w:t>
      </w:r>
    </w:p>
    <w:p>
      <w:r>
        <w:br w:type="page"/>
      </w:r>
    </w:p>
    <w:p>
      <w:pPr>
        <w:pStyle w:val="Heading1"/>
        <w:spacing w:after="200" w:before="360" w:line="360" w:lineRule="auto"/>
      </w:pPr>
      <w:r>
        <w:rPr>
          <w:rFonts w:ascii="Times New Roman" w:cs="Times New Roman" w:eastAsia="Times New Roman" w:hAnsi="Times New Roman"/>
          <w:b/>
          <w:bCs/>
          <w:sz w:val="32"/>
          <w:szCs w:val="32"/>
        </w:rPr>
        <w:t xml:space="preserve">FOYDALANILGAN ADABIYOTLAR</w:t>
      </w:r>
    </w:p>
    <w:p>
      <w:pPr>
        <w:spacing w:after="160" w:line="360" w:lineRule="auto"/>
      </w:pPr>
      <w:r>
        <w:rPr>
          <w:rFonts w:ascii="Times New Roman" w:cs="Times New Roman" w:eastAsia="Times New Roman" w:hAnsi="Times New Roman"/>
          <w:b/>
          <w:bCs/>
          <w:sz w:val="28"/>
          <w:szCs w:val="28"/>
        </w:rPr>
        <w:t xml:space="preserve">Quyidagi manbalar matnda raqamli iqtibos [n] ko‘rinishida ishlatilgan. Institut talabiga qarab shrift va intervalni tekshiring.</w:t>
      </w:r>
    </w:p>
    <w:p>
      <w:pPr>
        <w:spacing w:after="120" w:line="360" w:lineRule="auto"/>
      </w:pPr>
      <w:r>
        <w:rPr>
          <w:rFonts w:ascii="Times New Roman" w:cs="Times New Roman" w:eastAsia="Times New Roman" w:hAnsi="Times New Roman"/>
          <w:sz w:val="28"/>
          <w:szCs w:val="28"/>
        </w:rPr>
        <w:t xml:space="preserve">1. Бойко В.В., Смыслова З.В. Цифровая образовательная среда вуза : учеб. пособие. – М. : Форум, 2022. – 368 с.</w:t>
      </w:r>
    </w:p>
    <w:p>
      <w:pPr>
        <w:spacing w:after="120" w:line="360" w:lineRule="auto"/>
      </w:pPr>
      <w:r>
        <w:rPr>
          <w:rFonts w:ascii="Times New Roman" w:cs="Times New Roman" w:eastAsia="Times New Roman" w:hAnsi="Times New Roman"/>
          <w:sz w:val="28"/>
          <w:szCs w:val="28"/>
        </w:rPr>
        <w:t xml:space="preserve">2. UNESCO. Reimagining our futures together: a new social contract for education : report. – Paris : UNESCO Publishing, 2021. – 186 p.</w:t>
      </w:r>
    </w:p>
    <w:p>
      <w:pPr>
        <w:spacing w:after="120" w:line="360" w:lineRule="auto"/>
      </w:pPr>
      <w:r>
        <w:rPr>
          <w:rFonts w:ascii="Times New Roman" w:cs="Times New Roman" w:eastAsia="Times New Roman" w:hAnsi="Times New Roman"/>
          <w:sz w:val="28"/>
          <w:szCs w:val="28"/>
        </w:rPr>
        <w:t xml:space="preserve">3. OECD. Digital Education Outlook 2023 : towards an effective digital education ecosystem. – Paris : OECD Publishing, 2023. – 198 p.</w:t>
      </w:r>
    </w:p>
    <w:p>
      <w:pPr>
        <w:spacing w:after="120" w:line="360" w:lineRule="auto"/>
      </w:pPr>
      <w:r>
        <w:rPr>
          <w:rFonts w:ascii="Times New Roman" w:cs="Times New Roman" w:eastAsia="Times New Roman" w:hAnsi="Times New Roman"/>
          <w:sz w:val="28"/>
          <w:szCs w:val="28"/>
        </w:rPr>
        <w:t xml:space="preserve">4. Приказ Министерства высшего и среднего специального образования Республики Узбекистан от 12.06.2019 № 345 «О мерах по внедрению информационных технологий в образовательный процесс» (ред. по состоянию на 01.09.2024) // Lex.uz [Электронный ресурс]. – URL: https://lex.uz (дата обращения: 11.05.2026).</w:t>
      </w:r>
    </w:p>
    <w:p>
      <w:pPr>
        <w:spacing w:after="120" w:line="360" w:lineRule="auto"/>
      </w:pPr>
      <w:r>
        <w:rPr>
          <w:rFonts w:ascii="Times New Roman" w:cs="Times New Roman" w:eastAsia="Times New Roman" w:hAnsi="Times New Roman"/>
          <w:sz w:val="28"/>
          <w:szCs w:val="28"/>
        </w:rPr>
        <w:t xml:space="preserve">5. Гринберг А.С., Ковалёв А.П. Управление образовательной организацией в условиях цифровизации : монография. – СПб. : Изд-во Политехн. ун-та, 2021. – 254 с.</w:t>
      </w:r>
    </w:p>
    <w:p>
      <w:pPr>
        <w:spacing w:after="120" w:line="360" w:lineRule="auto"/>
      </w:pPr>
      <w:r>
        <w:rPr>
          <w:rFonts w:ascii="Times New Roman" w:cs="Times New Roman" w:eastAsia="Times New Roman" w:hAnsi="Times New Roman"/>
          <w:sz w:val="28"/>
          <w:szCs w:val="28"/>
        </w:rPr>
        <w:t xml:space="preserve">6. State Committee of the Republic of Uzbekistan on Statistics. Education and science in Uzbekistan : statistical digest 2024. – Tashkent, 2024. – 112 p.</w:t>
      </w:r>
    </w:p>
    <w:p>
      <w:pPr>
        <w:spacing w:after="120" w:line="360" w:lineRule="auto"/>
      </w:pPr>
      <w:r>
        <w:rPr>
          <w:rFonts w:ascii="Times New Roman" w:cs="Times New Roman" w:eastAsia="Times New Roman" w:hAnsi="Times New Roman"/>
          <w:sz w:val="28"/>
          <w:szCs w:val="28"/>
        </w:rPr>
        <w:t xml:space="preserve">7. React Team. React – A JavaScript library for building user interfaces : official documentation [Электронный ресурс]. – URL: https://react.dev (дата обращения: 11.05.2026).</w:t>
      </w:r>
    </w:p>
    <w:p>
      <w:pPr>
        <w:spacing w:after="120" w:line="360" w:lineRule="auto"/>
      </w:pPr>
      <w:r>
        <w:rPr>
          <w:rFonts w:ascii="Times New Roman" w:cs="Times New Roman" w:eastAsia="Times New Roman" w:hAnsi="Times New Roman"/>
          <w:sz w:val="28"/>
          <w:szCs w:val="28"/>
        </w:rPr>
        <w:t xml:space="preserve">8. PostgreSQL Global Development Group. PostgreSQL 16 Documentation [Электронный ресурс]. – URL: https://www.postgresql.org/docs/16/ (дата обращения: 11.05.2026).</w:t>
      </w:r>
    </w:p>
    <w:p>
      <w:pPr>
        <w:spacing w:after="120" w:line="360" w:lineRule="auto"/>
      </w:pPr>
      <w:r>
        <w:rPr>
          <w:rFonts w:ascii="Times New Roman" w:cs="Times New Roman" w:eastAsia="Times New Roman" w:hAnsi="Times New Roman"/>
          <w:sz w:val="28"/>
          <w:szCs w:val="28"/>
        </w:rPr>
        <w:t xml:space="preserve">9. Socket.IO authors. Socket.IO documentation (version 4.x) [Электронный ресурс]. – URL: https://socket.io/docs/v4/ (дата обращения: 11.05.2026).</w:t>
      </w:r>
    </w:p>
    <w:p>
      <w:pPr>
        <w:spacing w:after="120" w:line="360" w:lineRule="auto"/>
      </w:pPr>
      <w:r>
        <w:rPr>
          <w:rFonts w:ascii="Times New Roman" w:cs="Times New Roman" w:eastAsia="Times New Roman" w:hAnsi="Times New Roman"/>
          <w:sz w:val="28"/>
          <w:szCs w:val="28"/>
        </w:rPr>
        <w:t xml:space="preserve">10. OWASP Foundation. OWASP Top 10 – 2021: The Ten Most Critical Web Application Security Risks [Электронный ресурс]. – URL: https://owasp.org/www-project-top-ten/ (дата обращения: 11.05.2026).</w:t>
      </w:r>
    </w:p>
    <w:p>
      <w:pPr>
        <w:spacing w:after="120" w:line="360" w:lineRule="auto"/>
      </w:pPr>
      <w:r>
        <w:rPr>
          <w:rFonts w:ascii="Times New Roman" w:cs="Times New Roman" w:eastAsia="Times New Roman" w:hAnsi="Times New Roman"/>
          <w:sz w:val="28"/>
          <w:szCs w:val="28"/>
        </w:rPr>
        <w:t xml:space="preserve">11. Fielding R.T. Architectural Styles and the Design of Network-based Software Architectures : Ph. D. thesis. – Irvine : University of California, 2000. – 180 p.</w:t>
      </w:r>
    </w:p>
    <w:p>
      <w:pPr>
        <w:spacing w:after="120" w:line="360" w:lineRule="auto"/>
      </w:pPr>
      <w:r>
        <w:rPr>
          <w:rFonts w:ascii="Times New Roman" w:cs="Times New Roman" w:eastAsia="Times New Roman" w:hAnsi="Times New Roman"/>
          <w:sz w:val="28"/>
          <w:szCs w:val="28"/>
        </w:rPr>
        <w:t xml:space="preserve">12. ГОСТ 34.601-90. Автоматизированные системы. Стадии создания. – Взамен ГОСТ 34.601-80 ; введ. 01.07.90. – М. : Изд-во стандартов, 1990. – 19 с.</w:t>
      </w:r>
    </w:p>
    <w:p>
      <w:pPr>
        <w:spacing w:after="120" w:line="360" w:lineRule="auto"/>
      </w:pPr>
      <w:r>
        <w:rPr>
          <w:rFonts w:ascii="Times New Roman" w:cs="Times New Roman" w:eastAsia="Times New Roman" w:hAnsi="Times New Roman"/>
          <w:sz w:val="28"/>
          <w:szCs w:val="28"/>
        </w:rPr>
        <w:t xml:space="preserve">13. Moodle Pty Ltd. Moodle – open-source learning platform : documentation [Электронный ресурс]. – URL: https://docs.moodle.org/ (дата обращения: 11.05.2026).</w:t>
      </w:r>
    </w:p>
    <w:p>
      <w:pPr>
        <w:spacing w:after="120" w:line="360" w:lineRule="auto"/>
      </w:pPr>
      <w:r>
        <w:rPr>
          <w:rFonts w:ascii="Times New Roman" w:cs="Times New Roman" w:eastAsia="Times New Roman" w:hAnsi="Times New Roman"/>
          <w:sz w:val="28"/>
          <w:szCs w:val="28"/>
        </w:rPr>
        <w:t xml:space="preserve">14. Google LLC. Google Classroom – Help Center [Электронный ресурс]. – URL: https://support.google.com/edu/classroom (дата обращения: 11.05.2026).</w:t>
      </w:r>
    </w:p>
    <w:p>
      <w:pPr>
        <w:spacing w:after="120" w:line="360" w:lineRule="auto"/>
      </w:pPr>
      <w:r>
        <w:rPr>
          <w:rFonts w:ascii="Times New Roman" w:cs="Times New Roman" w:eastAsia="Times New Roman" w:hAnsi="Times New Roman"/>
          <w:sz w:val="28"/>
          <w:szCs w:val="28"/>
        </w:rPr>
        <w:t xml:space="preserve">15. Canvas LMS by Instructure. Canvas guides [Электронный ресурс]. – URL: https://community.canvaslms.com/t5/Canvas/ct-p/canvas (дата обращения: 11.05.2026).</w:t>
      </w:r>
    </w:p>
    <w:p>
      <w:pPr>
        <w:spacing w:after="120" w:line="360" w:lineRule="auto"/>
      </w:pPr>
      <w:r>
        <w:rPr>
          <w:rFonts w:ascii="Times New Roman" w:cs="Times New Roman" w:eastAsia="Times New Roman" w:hAnsi="Times New Roman"/>
          <w:sz w:val="28"/>
          <w:szCs w:val="28"/>
        </w:rPr>
        <w:t xml:space="preserve">16. Newman S. Building Microservices: Designing Fine-Grained Systems. – 2nd ed. – Sebastopol, CA : O’Reilly Media, 2021. – 600 p.</w:t>
      </w:r>
    </w:p>
    <w:p>
      <w:pPr>
        <w:spacing w:after="120" w:line="360" w:lineRule="auto"/>
      </w:pPr>
      <w:r>
        <w:rPr>
          <w:rFonts w:ascii="Times New Roman" w:cs="Times New Roman" w:eastAsia="Times New Roman" w:hAnsi="Times New Roman"/>
          <w:sz w:val="28"/>
          <w:szCs w:val="28"/>
        </w:rPr>
        <w:t xml:space="preserve">17. Prisma Data Inc. Prisma ORM documentation [Электронный ресурс]. – URL: https://www.prisma.io/docs (дата обращения: 11.05.2026).</w:t>
      </w:r>
    </w:p>
    <w:p>
      <w:pPr>
        <w:spacing w:after="120" w:line="360" w:lineRule="auto"/>
      </w:pPr>
      <w:r>
        <w:rPr>
          <w:rFonts w:ascii="Times New Roman" w:cs="Times New Roman" w:eastAsia="Times New Roman" w:hAnsi="Times New Roman"/>
          <w:sz w:val="28"/>
          <w:szCs w:val="28"/>
        </w:rPr>
        <w:t xml:space="preserve">18. Node.js Foundation. Node.js v22.x documentation [Электронный ресурс]. – URL: https://nodejs.org/docs/latest-v22.x/api/ (дата обращения: 11.05.2026).</w:t>
      </w:r>
    </w:p>
    <w:p>
      <w:pPr>
        <w:spacing w:after="120" w:line="360" w:lineRule="auto"/>
      </w:pPr>
      <w:r>
        <w:rPr>
          <w:rFonts w:ascii="Times New Roman" w:cs="Times New Roman" w:eastAsia="Times New Roman" w:hAnsi="Times New Roman"/>
          <w:sz w:val="28"/>
          <w:szCs w:val="28"/>
        </w:rPr>
        <w:t xml:space="preserve">19. Коннолли Т., Бегг К. Базы данных. Проектирование, реализация и сопровождение. Теория и практика. – 3-е изд. – М. : Вильямс, 2020. – 1440 с.</w:t>
      </w:r>
    </w:p>
    <w:p>
      <w:pPr>
        <w:spacing w:after="120" w:line="360" w:lineRule="auto"/>
      </w:pPr>
      <w:r>
        <w:rPr>
          <w:rFonts w:ascii="Times New Roman" w:cs="Times New Roman" w:eastAsia="Times New Roman" w:hAnsi="Times New Roman"/>
          <w:sz w:val="28"/>
          <w:szCs w:val="28"/>
        </w:rPr>
        <w:t xml:space="preserve">20. Date C.J. SQL and Relational Theory: How to Write Accurate SQL Code. – 3rd ed. – Sebastopol, CA : O’Reilly Media, 2015. – 534 p.</w:t>
      </w:r>
    </w:p>
    <w:p>
      <w:pPr>
        <w:spacing w:after="120" w:line="360" w:lineRule="auto"/>
      </w:pPr>
      <w:r>
        <w:rPr>
          <w:rFonts w:ascii="Times New Roman" w:cs="Times New Roman" w:eastAsia="Times New Roman" w:hAnsi="Times New Roman"/>
          <w:sz w:val="28"/>
          <w:szCs w:val="28"/>
        </w:rPr>
        <w:t xml:space="preserve">21. Амосов В.А., Кузнецов В.В. Проектирование баз данных : учеб. пособие. – М. : Юрайт, 2023. – 287 с.</w:t>
      </w:r>
    </w:p>
    <w:p>
      <w:pPr>
        <w:spacing w:after="120" w:line="360" w:lineRule="auto"/>
      </w:pPr>
      <w:r>
        <w:rPr>
          <w:rFonts w:ascii="Times New Roman" w:cs="Times New Roman" w:eastAsia="Times New Roman" w:hAnsi="Times New Roman"/>
          <w:sz w:val="28"/>
          <w:szCs w:val="28"/>
        </w:rPr>
        <w:t xml:space="preserve">22. Freeman E., Robson E. Head First Design Patterns: Building Extensible and Maintainable Object-Oriented Software. – 2nd ed. – Sebastopol, CA : O’Reilly Media, 2020. – 669 p.</w:t>
      </w:r>
    </w:p>
    <w:p>
      <w:pPr>
        <w:spacing w:after="120" w:line="360" w:lineRule="auto"/>
      </w:pPr>
      <w:r>
        <w:rPr>
          <w:rFonts w:ascii="Times New Roman" w:cs="Times New Roman" w:eastAsia="Times New Roman" w:hAnsi="Times New Roman"/>
          <w:sz w:val="28"/>
          <w:szCs w:val="28"/>
        </w:rPr>
        <w:t xml:space="preserve">23. Microsoft TypeScript Team. TypeScript Handbook [Электронный ресурс]. – URL: https://www.typescriptlang.org/docs/ (дата обращения: 11.05.2026).</w:t>
      </w:r>
    </w:p>
    <w:p>
      <w:pPr>
        <w:spacing w:after="120" w:line="360" w:lineRule="auto"/>
      </w:pPr>
      <w:r>
        <w:rPr>
          <w:rFonts w:ascii="Times New Roman" w:cs="Times New Roman" w:eastAsia="Times New Roman" w:hAnsi="Times New Roman"/>
          <w:sz w:val="28"/>
          <w:szCs w:val="28"/>
        </w:rPr>
        <w:t xml:space="preserve">24. Vite Team. Vite Guide [Электронный ресурс]. – URL: https://vite.dev/guide/ (дата обращения: 11.05.2026).</w:t>
      </w:r>
    </w:p>
    <w:p>
      <w:pPr>
        <w:spacing w:after="120" w:line="360" w:lineRule="auto"/>
      </w:pPr>
      <w:r>
        <w:rPr>
          <w:rFonts w:ascii="Times New Roman" w:cs="Times New Roman" w:eastAsia="Times New Roman" w:hAnsi="Times New Roman"/>
          <w:sz w:val="28"/>
          <w:szCs w:val="28"/>
        </w:rPr>
        <w:t xml:space="preserve">25. Myers G.J., Sandler C., Badgett T. The Art of Software Testing. – 3rd ed. – Hoboken, NJ : Wiley, 2011. – 240 p.</w:t>
      </w:r>
    </w:p>
    <w:p>
      <w:pPr>
        <w:spacing w:after="120" w:line="360" w:lineRule="auto"/>
      </w:pPr>
      <w:r>
        <w:rPr>
          <w:rFonts w:ascii="Times New Roman" w:cs="Times New Roman" w:eastAsia="Times New Roman" w:hAnsi="Times New Roman"/>
          <w:sz w:val="28"/>
          <w:szCs w:val="28"/>
        </w:rPr>
        <w:t xml:space="preserve">26. ISO/IEC/IEEE 29119-1:2022. Software and systems engineering — Software testing — Part 1: General concepts. – Geneva : ISO, 2022. – 72 p.</w:t>
      </w:r>
    </w:p>
    <w:p>
      <w:pPr>
        <w:spacing w:after="120" w:line="360" w:lineRule="auto"/>
      </w:pPr>
      <w:r>
        <w:rPr>
          <w:rFonts w:ascii="Times New Roman" w:cs="Times New Roman" w:eastAsia="Times New Roman" w:hAnsi="Times New Roman"/>
          <w:sz w:val="28"/>
          <w:szCs w:val="28"/>
        </w:rPr>
        <w:t xml:space="preserve">27. ISTQB. Certified Tester Foundation Level Syllabus v4.0 [Электронный ресурс]. – URL: https://istqb.org/ (дата обращения: 11.05.2026).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2026-05-11T08:10:23.071Z</dcterms:created>
  <dcterms:modified xsi:type="dcterms:W3CDTF">2026-05-11T08:10:23.071Z</dcterms:modified>
</cp:coreProperties>
</file>

<file path=docProps/custom.xml><?xml version="1.0" encoding="utf-8"?>
<Properties xmlns="http://schemas.openxmlformats.org/officeDocument/2006/custom-properties" xmlns:vt="http://schemas.openxmlformats.org/officeDocument/2006/docPropsVTypes"/>
</file>