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rebuchet MS" w:hAnsi="Trebuchet MS"/>
          <w:b/>
          <w:color w:val="1E3A8A"/>
          <w:sz w:val="56"/>
        </w:rPr>
        <w:t>GEETORUSAI // STRATEGIC BRIEF &amp; SPECIFICATION</w:t>
      </w:r>
    </w:p>
    <w:p>
      <w:pPr>
        <w:spacing w:after="480"/>
        <w:jc w:val="center"/>
      </w:pPr>
      <w:r>
        <w:rPr>
          <w:rFonts w:ascii="Segoe UI" w:hAnsi="Segoe UI"/>
          <w:b/>
          <w:color w:val="0284C7"/>
          <w:sz w:val="26"/>
        </w:rPr>
        <w:t>The Autonomous AI Agent Control Plane &amp; Virtual Company Operating System</w:t>
        <w:br/>
        <w:t>Confidential Investor &amp; Architectural Brief — 2026 Edition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2563EB"/>
              <w:top w:val="none"/>
              <w:right w:val="none"/>
              <w:bottom w:val="none"/>
            </w:tcBorders>
          </w:tcPr>
          <w:p>
            <w:pPr>
              <w:spacing w:after="80"/>
            </w:pPr>
            <w:r>
              <w:rPr>
                <w:rFonts w:ascii="Consolas" w:hAnsi="Consolas"/>
                <w:b/>
                <w:color w:val="1E3A8A"/>
                <w:sz w:val="19"/>
              </w:rPr>
              <w:t>[EXECUTIVE OVERVIEW // COMMERCIAL &amp; TECHNICAL SYNOPSIS]</w:t>
              <w:br/>
            </w:r>
            <w:r>
              <w:rPr>
                <w:rFonts w:ascii="Segoe UI" w:hAnsi="Segoe UI"/>
                <w:color w:val="0F172A"/>
                <w:sz w:val="20"/>
              </w:rPr>
              <w:t>GeetorusAI is the sovereign, self-hostable operating system that coordinates specialized multi-agent engineering teams (Tech Lead, Backend Engineer, QA Specialist, Security Sentinel) under strict daily token budget caps, isolated Git worktrees, and cryptographic HMAC approval gates.</w:t>
              <w:br/>
              <w:br/>
              <w:t>• Founder: Udhaya Kumar (CEO &amp; Founder, Geetorus — Cybersecurity Pioneer, Tamil Nadu, India)</w:t>
              <w:br/>
              <w:t>• Engineering Depth: 16 Fully Verified Production Subsystems (29k-line Scheduler, 137 DB Schemas, 13 Adapters)</w:t>
              <w:br/>
              <w:t>• Financing Round: $1,500,000 USD Seed Round for 15.0% Equity ($10M Post-Money Valuation) [PLACEHOLDER: confirm]</w:t>
            </w:r>
          </w:p>
        </w:tc>
      </w:tr>
    </w:tbl>
    <w:p>
      <w:pPr>
        <w:spacing w:after="120"/>
      </w:pPr>
    </w:p>
    <w:p>
      <w:r>
        <w:br w:type="page"/>
      </w:r>
    </w:p>
    <w:p>
      <w:pPr>
        <w:spacing w:before="360" w:after="160"/>
      </w:pPr>
      <w:r>
        <w:rPr>
          <w:rFonts w:ascii="Trebuchet MS" w:hAnsi="Trebuchet MS"/>
          <w:b/>
          <w:color w:val="1E3A8A"/>
          <w:sz w:val="36"/>
        </w:rPr>
        <w:t>PART 1: THE BUSINESS SIDE (7-PAGE EXECUTIVE DOSSIER)</w:t>
      </w:r>
    </w:p>
    <w:p>
      <w:pPr>
        <w:spacing w:before="240" w:after="80"/>
      </w:pPr>
      <w:r>
        <w:rPr>
          <w:rFonts w:ascii="Segoe UI" w:hAnsi="Segoe UI"/>
          <w:b/>
          <w:color w:val="0284C7"/>
          <w:sz w:val="26"/>
        </w:rPr>
        <w:t>Section 1: What It Is &amp; The Core Crisis</w:t>
      </w:r>
    </w:p>
    <w:p>
      <w:pPr>
        <w:spacing w:after="120" w:line="276" w:lineRule="auto"/>
      </w:pPr>
      <w:r>
        <w:rPr>
          <w:rFonts w:ascii="Segoe UI" w:hAnsi="Segoe UI"/>
          <w:b/>
          <w:color w:val="0F172A"/>
          <w:sz w:val="20"/>
        </w:rPr>
        <w:t xml:space="preserve">The Spoken Definition: </w:t>
      </w:r>
      <w:r>
        <w:rPr>
          <w:rFonts w:ascii="Segoe UI" w:hAnsi="Segoe UI"/>
          <w:color w:val="0F172A"/>
          <w:sz w:val="20"/>
        </w:rPr>
        <w:t>“GeetorusAI is the sovereign, self-hosted operating system that turns isolated AI coding agents into a governed, collaborative digital workforce with strict budget caps and verifiable outcomes.”</w:t>
      </w:r>
    </w:p>
    <w:p>
      <w:pPr>
        <w:spacing w:after="120" w:line="276" w:lineRule="auto"/>
      </w:pPr>
      <w:r>
        <w:rPr>
          <w:rFonts w:ascii="Segoe UI" w:hAnsi="Segoe UI"/>
          <w:color w:val="0F172A"/>
          <w:sz w:val="20"/>
        </w:rPr>
        <w:t>Over the past 24 months, the software development industry experienced an explosive influx of generative AI models and terminal coding bots (Claude Code, Cursor, GitHub Copilot). While these individual assistants accelerate single developers, they fail completely when deployed at team or enterprise scale. Autonomous engineering workflows face three critical bottlenecks:</w:t>
      </w:r>
    </w:p>
    <w:p>
      <w:pPr>
        <w:pStyle w:val="ListBullet"/>
        <w:spacing w:after="60" w:line="276" w:lineRule="auto"/>
      </w:pPr>
      <w:r>
        <w:rPr>
          <w:rFonts w:ascii="Segoe UI" w:hAnsi="Segoe UI"/>
          <w:b/>
          <w:color w:val="0F172A"/>
          <w:sz w:val="20"/>
        </w:rPr>
        <w:t xml:space="preserve">1. Ungoverned Agent Sprawl: </w:t>
      </w:r>
      <w:r>
        <w:rPr>
          <w:rFonts w:ascii="Segoe UI" w:hAnsi="Segoe UI"/>
          <w:color w:val="0F172A"/>
          <w:sz w:val="20"/>
        </w:rPr>
        <w:t>Developers run disconnected coding bots in isolated terminal tabs. There is no shared architectural memory, no organizational hierarchy, no cross-agent task handoff, and zero visibility for engineering management.</w:t>
      </w:r>
    </w:p>
    <w:p>
      <w:pPr>
        <w:pStyle w:val="ListBullet"/>
        <w:spacing w:after="60" w:line="276" w:lineRule="auto"/>
      </w:pPr>
      <w:r>
        <w:rPr>
          <w:rFonts w:ascii="Segoe UI" w:hAnsi="Segoe UI"/>
          <w:b/>
          <w:color w:val="0F172A"/>
          <w:sz w:val="20"/>
        </w:rPr>
        <w:t xml:space="preserve">2. Runaway Token Bleeding: </w:t>
      </w:r>
      <w:r>
        <w:rPr>
          <w:rFonts w:ascii="Segoe UI" w:hAnsi="Segoe UI"/>
          <w:color w:val="0F172A"/>
          <w:sz w:val="20"/>
        </w:rPr>
        <w:t>When autonomous agents encounter complex syntax errors or unexpected API responses, they iterate in unbounded loops. A single rogue agent session can burn $200–$500 in token consumption overnight with zero productive output. Existing tools provide no hard daily financial circuit breakers.</w:t>
      </w:r>
    </w:p>
    <w:p>
      <w:pPr>
        <w:pStyle w:val="ListBullet"/>
        <w:spacing w:after="60" w:line="276" w:lineRule="auto"/>
      </w:pPr>
      <w:r>
        <w:rPr>
          <w:rFonts w:ascii="Segoe UI" w:hAnsi="Segoe UI"/>
          <w:b/>
          <w:color w:val="0F172A"/>
          <w:sz w:val="20"/>
        </w:rPr>
        <w:t xml:space="preserve">3. Unverified Code &amp; Shell Execution: </w:t>
      </w:r>
      <w:r>
        <w:rPr>
          <w:rFonts w:ascii="Segoe UI" w:hAnsi="Segoe UI"/>
          <w:color w:val="0F172A"/>
          <w:sz w:val="20"/>
        </w:rPr>
        <w:t>Agents are routinely granted shell execution and git access. Without deterministic human-in-the-loop approval gates, agents execute destructive commands (e.g., database drops, forced pushes, secret credential exfiltration) directly on production branches.</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2563EB"/>
              <w:top w:val="none"/>
              <w:right w:val="none"/>
              <w:bottom w:val="none"/>
            </w:tcBorders>
          </w:tcPr>
          <w:p>
            <w:pPr>
              <w:spacing w:after="80"/>
            </w:pPr>
            <w:r>
              <w:rPr>
                <w:rFonts w:ascii="Consolas" w:hAnsi="Consolas"/>
                <w:b/>
                <w:color w:val="1E3A8A"/>
                <w:sz w:val="19"/>
              </w:rPr>
              <w:t>[INDEPENDENT RESEARCH GROUNDING // GARTNER 2026]</w:t>
              <w:br/>
            </w:r>
            <w:r>
              <w:rPr>
                <w:rFonts w:ascii="Segoe UI" w:hAnsi="Segoe UI"/>
                <w:color w:val="0F172A"/>
                <w:sz w:val="20"/>
              </w:rPr>
              <w:t>Market Research Quantification: Gartner’s 2026 Enterprise Agentic AI study warns that over 40% of enterprise agent deployments face cancellation or indefinite freeze due to runaway token costs, audit blind spots, and lack of deterministic governance.</w:t>
            </w:r>
          </w:p>
        </w:tc>
      </w:tr>
    </w:tbl>
    <w:p>
      <w:pPr>
        <w:spacing w:after="120"/>
      </w:pPr>
    </w:p>
    <w:p>
      <w:pPr>
        <w:spacing w:before="240" w:after="80"/>
      </w:pPr>
      <w:r>
        <w:rPr>
          <w:rFonts w:ascii="Segoe UI" w:hAnsi="Segoe UI"/>
          <w:b/>
          <w:color w:val="0284C7"/>
          <w:sz w:val="26"/>
        </w:rPr>
        <w:t>Section 2: The Product &amp; Audited Codebase Reality</w:t>
      </w:r>
    </w:p>
    <w:p>
      <w:pPr>
        <w:spacing w:after="120" w:line="276" w:lineRule="auto"/>
      </w:pPr>
      <w:r>
        <w:rPr>
          <w:rFonts w:ascii="Segoe UI" w:hAnsi="Segoe UI"/>
          <w:color w:val="0F172A"/>
          <w:sz w:val="20"/>
        </w:rPr>
        <w:t>GeetorusAI replaces unmanaged prompt scripts with a Virtual Company Operating System. Inside GeetorusAI, an organization is modeled as a living digital company with an interactive SVG organizational chart, structured departments, specialized agent roles, and hierarchical issue dispatch.</w:t>
      </w:r>
    </w:p>
    <w:p>
      <w:pPr>
        <w:spacing w:after="120" w:line="276" w:lineRule="auto"/>
      </w:pPr>
      <w:r>
        <w:rPr>
          <w:rFonts w:ascii="Segoe UI" w:hAnsi="Segoe UI"/>
          <w:color w:val="0F172A"/>
          <w:sz w:val="20"/>
        </w:rPr>
        <w:t>Unlike speculative pitch decks that pitch vaporware, GeetorusAI is backed by an audited, functioning production codebase. We strictly demarcate what is code-verified today from external dependencies and roadmap milestones:</w:t>
      </w:r>
    </w:p>
    <w:p>
      <w:pPr>
        <w:pStyle w:val="ListBullet"/>
        <w:spacing w:after="60" w:line="276" w:lineRule="auto"/>
      </w:pPr>
      <w:r>
        <w:rPr>
          <w:rFonts w:ascii="Segoe UI" w:hAnsi="Segoe UI"/>
          <w:b/>
          <w:color w:val="0F172A"/>
          <w:sz w:val="20"/>
        </w:rPr>
        <w:t xml:space="preserve">16 Fully Verified Production Subsystems (100% Code-Backed): </w:t>
      </w:r>
      <w:r>
        <w:rPr>
          <w:rFonts w:ascii="Segoe UI" w:hAnsi="Segoe UI"/>
          <w:color w:val="0F172A"/>
          <w:sz w:val="20"/>
        </w:rPr>
        <w:t>Autonomous heartbeat scheduler (29,391 lines in server/src/services/heartbeat.ts), 137 typed Drizzle ORM relational schemas, embedded zero-config PostgreSQL runtime (migration-runtime.ts), 13 provider adapters (Claude Opus/Sonnet 5.5, GPT-5, Gemini 2.5, Ollama), native Anthropic Model Context Protocol (MCP) gateway, Amber-gate approval engine, HMAC-SHA256 decision signing, daily USD budget caps, and 5-channel chat bridge (Discord, Slack, Teams, Telegram, GitHub).</w:t>
      </w:r>
    </w:p>
    <w:p>
      <w:pPr>
        <w:pStyle w:val="ListBullet"/>
        <w:spacing w:after="60" w:line="276" w:lineRule="auto"/>
      </w:pPr>
      <w:r>
        <w:rPr>
          <w:rFonts w:ascii="Segoe UI" w:hAnsi="Segoe UI"/>
          <w:b/>
          <w:color w:val="0F172A"/>
          <w:sz w:val="20"/>
        </w:rPr>
        <w:t xml:space="preserve">4 Partially Verified Subsystems (External Cloud Key Dependent): </w:t>
      </w:r>
      <w:r>
        <w:rPr>
          <w:rFonts w:ascii="Segoe UI" w:hAnsi="Segoe UI"/>
          <w:color w:val="0F172A"/>
          <w:sz w:val="20"/>
        </w:rPr>
        <w:t>Remote micro-VM sandbox execution (e2b/Daytona runtime adapters in environments.ts), Next.js template marketplace UI (geetorus-market), and live incoming webhook channels (require external API tokens).</w:t>
      </w:r>
    </w:p>
    <w:p>
      <w:pPr>
        <w:pStyle w:val="ListBullet"/>
        <w:spacing w:after="60" w:line="276" w:lineRule="auto"/>
      </w:pPr>
      <w:r>
        <w:rPr>
          <w:rFonts w:ascii="Segoe UI" w:hAnsi="Segoe UI"/>
          <w:b/>
          <w:color w:val="0F172A"/>
          <w:sz w:val="20"/>
        </w:rPr>
        <w:t xml:space="preserve">4 Planned Roadmap Milestones (Scheduled for Post-Seed): </w:t>
      </w:r>
      <w:r>
        <w:rPr>
          <w:rFonts w:ascii="Segoe UI" w:hAnsi="Segoe UI"/>
          <w:color w:val="0F172A"/>
          <w:sz w:val="20"/>
        </w:rPr>
        <w:t>Distributed Redis/BullMQ task queue, pgvector semantic long-term memory, enterprise SAML/OIDC single sign-on, and automated mutation evals.</w:t>
      </w:r>
    </w:p>
    <w:p>
      <w:pPr>
        <w:spacing w:after="120" w:line="276" w:lineRule="auto"/>
      </w:pPr>
      <w:r>
        <w:rPr>
          <w:rFonts w:ascii="Segoe UI" w:hAnsi="Segoe UI"/>
          <w:b/>
          <w:color w:val="0F172A"/>
          <w:sz w:val="20"/>
        </w:rPr>
        <w:t xml:space="preserve">Verified UI Interface: </w:t>
      </w:r>
      <w:r>
        <w:rPr>
          <w:rFonts w:ascii="Segoe UI" w:hAnsi="Segoe UI"/>
          <w:color w:val="0F172A"/>
          <w:sz w:val="20"/>
        </w:rPr>
        <w:t>Figure 1: Live GeetorusAI Dashboard Running Locally on Port 3100 (Captured Live)</w:t>
      </w:r>
    </w:p>
    <w:p>
      <w:r>
        <w:drawing>
          <wp:inline xmlns:a="http://schemas.openxmlformats.org/drawingml/2006/main" xmlns:pic="http://schemas.openxmlformats.org/drawingml/2006/picture">
            <wp:extent cx="5669280" cy="2826670"/>
            <wp:docPr id="1" name="Picture 1"/>
            <wp:cNvGraphicFramePr>
              <a:graphicFrameLocks noChangeAspect="1"/>
            </wp:cNvGraphicFramePr>
            <a:graphic>
              <a:graphicData uri="http://schemas.openxmlformats.org/drawingml/2006/picture">
                <pic:pic>
                  <pic:nvPicPr>
                    <pic:cNvPr id="0" name="geetorus_dashboard.png"/>
                    <pic:cNvPicPr/>
                  </pic:nvPicPr>
                  <pic:blipFill>
                    <a:blip r:embed="rId9"/>
                    <a:stretch>
                      <a:fillRect/>
                    </a:stretch>
                  </pic:blipFill>
                  <pic:spPr>
                    <a:xfrm>
                      <a:off x="0" y="0"/>
                      <a:ext cx="5669280" cy="2826670"/>
                    </a:xfrm>
                    <a:prstGeom prst="rect"/>
                  </pic:spPr>
                </pic:pic>
              </a:graphicData>
            </a:graphic>
          </wp:inline>
        </w:drawing>
      </w:r>
    </w:p>
    <w:p>
      <w:pPr>
        <w:spacing w:after="160"/>
      </w:pPr>
    </w:p>
    <w:p>
      <w:pPr>
        <w:spacing w:before="240" w:after="80"/>
      </w:pPr>
      <w:r>
        <w:rPr>
          <w:rFonts w:ascii="Segoe UI" w:hAnsi="Segoe UI"/>
          <w:b/>
          <w:color w:val="0284C7"/>
          <w:sz w:val="26"/>
        </w:rPr>
        <w:t>Section 3: Target Customer, Economic Buyers &amp; Founder Pedigree</w:t>
      </w:r>
    </w:p>
    <w:p>
      <w:pPr>
        <w:spacing w:after="120" w:line="276" w:lineRule="auto"/>
      </w:pPr>
      <w:r>
        <w:rPr>
          <w:rFonts w:ascii="Segoe UI" w:hAnsi="Segoe UI"/>
          <w:color w:val="0F172A"/>
          <w:sz w:val="20"/>
        </w:rPr>
        <w:t>GeetorusAI focuses on high-velocity software engineering organizations where code quality, cost predictability, and intellectual property sovereignty are non-negotiable.</w:t>
      </w:r>
    </w:p>
    <w:p>
      <w:pPr>
        <w:pStyle w:val="ListBullet"/>
        <w:spacing w:after="60" w:line="276" w:lineRule="auto"/>
      </w:pPr>
      <w:r>
        <w:rPr>
          <w:rFonts w:ascii="Segoe UI" w:hAnsi="Segoe UI"/>
          <w:b/>
          <w:color w:val="0F172A"/>
          <w:sz w:val="20"/>
        </w:rPr>
        <w:t xml:space="preserve">Beachhead Customer Persona: </w:t>
      </w:r>
      <w:r>
        <w:rPr>
          <w:rFonts w:ascii="Segoe UI" w:hAnsi="Segoe UI"/>
          <w:color w:val="0F172A"/>
          <w:sz w:val="20"/>
        </w:rPr>
        <w:t>Lead Software Architects and VPs of Engineering managing 15 to 150 software developers. They are actively encouraging AI adoption but are terrified of code regressions, broken builds, and unpredictable token bills.</w:t>
      </w:r>
    </w:p>
    <w:p>
      <w:pPr>
        <w:pStyle w:val="ListBullet"/>
        <w:spacing w:after="60" w:line="276" w:lineRule="auto"/>
      </w:pPr>
      <w:r>
        <w:rPr>
          <w:rFonts w:ascii="Segoe UI" w:hAnsi="Segoe UI"/>
          <w:b/>
          <w:color w:val="0F172A"/>
          <w:sz w:val="20"/>
        </w:rPr>
        <w:t xml:space="preserve">Economic Buyer // Pro Tier ($49/month): </w:t>
      </w:r>
      <w:r>
        <w:rPr>
          <w:rFonts w:ascii="Segoe UI" w:hAnsi="Segoe UI"/>
          <w:color w:val="0F172A"/>
          <w:sz w:val="20"/>
        </w:rPr>
        <w:t>Senior Developers / Tech Leads. Expensed via corporate card for personal multi-model routing, isolated git worktrees, and automated code review.</w:t>
      </w:r>
    </w:p>
    <w:p>
      <w:pPr>
        <w:pStyle w:val="ListBullet"/>
        <w:spacing w:after="60" w:line="276" w:lineRule="auto"/>
      </w:pPr>
      <w:r>
        <w:rPr>
          <w:rFonts w:ascii="Segoe UI" w:hAnsi="Segoe UI"/>
          <w:b/>
          <w:color w:val="0F172A"/>
          <w:sz w:val="20"/>
        </w:rPr>
        <w:t xml:space="preserve">Economic Buyer // Teams Tier ($199/month): </w:t>
      </w:r>
      <w:r>
        <w:rPr>
          <w:rFonts w:ascii="Segoe UI" w:hAnsi="Segoe UI"/>
          <w:color w:val="0F172A"/>
          <w:sz w:val="20"/>
        </w:rPr>
        <w:t>Director of Engineering / VP Engineering. Purchased from team engineering tooling budgets to unify team issue tracking, enforce daily budget caps, and enable Slack/Discord integration.</w:t>
      </w:r>
    </w:p>
    <w:p>
      <w:pPr>
        <w:pStyle w:val="ListBullet"/>
        <w:spacing w:after="60" w:line="276" w:lineRule="auto"/>
      </w:pPr>
      <w:r>
        <w:rPr>
          <w:rFonts w:ascii="Segoe UI" w:hAnsi="Segoe UI"/>
          <w:b/>
          <w:color w:val="0F172A"/>
          <w:sz w:val="20"/>
        </w:rPr>
        <w:t xml:space="preserve">Economic Buyer // Enterprise Tier ($1,200+/month): </w:t>
      </w:r>
      <w:r>
        <w:rPr>
          <w:rFonts w:ascii="Segoe UI" w:hAnsi="Segoe UI"/>
          <w:color w:val="0F172A"/>
          <w:sz w:val="20"/>
        </w:rPr>
        <w:t>Chief Information Security Officer (CISO) and Head of Platform. Purchased from enterprise compliance/security budgets to guarantee air-gapped on-premise execution, immutable HMAC audit trails, and DPDP/SOC2 compliance.</w:t>
      </w:r>
    </w:p>
    <w:p>
      <w:pPr>
        <w:spacing w:after="120" w:line="276" w:lineRule="auto"/>
      </w:pPr>
      <w:r>
        <w:rPr>
          <w:rFonts w:ascii="Segoe UI" w:hAnsi="Segoe UI"/>
          <w:b/>
          <w:color w:val="0F172A"/>
          <w:sz w:val="20"/>
        </w:rPr>
        <w:t xml:space="preserve">Founder Background: </w:t>
      </w:r>
      <w:r>
        <w:rPr>
          <w:rFonts w:ascii="Segoe UI" w:hAnsi="Segoe UI"/>
          <w:color w:val="0F172A"/>
          <w:sz w:val="20"/>
        </w:rPr>
        <w:t>Founder &amp; Executive Credentials: Udhaya Kumar, Founder &amp; CEO of Geetorus, is a renowned ethical hacker and cybersecurity pioneer based in Tamil Nadu, India. He commands a 20-person core engineering and research team. This deep cybersecurity heritage directly informs GeetorusAI’s kernel: built with AES-256-GCM secret encryption, least-privilege token access, and tamper-proof decision logging.</w:t>
      </w:r>
    </w:p>
    <w:p>
      <w:pPr>
        <w:spacing w:after="120" w:line="276" w:lineRule="auto"/>
      </w:pPr>
      <w:r>
        <w:rPr>
          <w:rFonts w:ascii="Segoe UI" w:hAnsi="Segoe UI"/>
          <w:b/>
          <w:color w:val="0F172A"/>
          <w:sz w:val="20"/>
        </w:rPr>
        <w:t xml:space="preserve">Early Validation: </w:t>
      </w:r>
      <w:r>
        <w:rPr>
          <w:rFonts w:ascii="Segoe UI" w:hAnsi="Segoe UI"/>
          <w:color w:val="0F172A"/>
          <w:sz w:val="20"/>
        </w:rPr>
        <w:t>Enterprise Design Partners &amp; Pilots [PLACEHOLDER: confirm]: 4 active design partners validating GeetorusAI across FinTech (automated PR verification under SOC2), Cybersecurity MSSPs (threat-hunting agents via local Ollama), and Healthcare SaaS (HIPAA-compliant isolated worktrees).</w:t>
      </w:r>
    </w:p>
    <w:p>
      <w:pPr>
        <w:spacing w:before="240" w:after="80"/>
      </w:pPr>
      <w:r>
        <w:rPr>
          <w:rFonts w:ascii="Segoe UI" w:hAnsi="Segoe UI"/>
          <w:b/>
          <w:color w:val="0284C7"/>
          <w:sz w:val="26"/>
        </w:rPr>
        <w:t>Section 4: Market Sizing (TAM/SAM/SOM) &amp; Market Timing</w:t>
      </w:r>
    </w:p>
    <w:p>
      <w:pPr>
        <w:spacing w:after="120" w:line="276" w:lineRule="auto"/>
      </w:pPr>
      <w:r>
        <w:rPr>
          <w:rFonts w:ascii="Segoe UI" w:hAnsi="Segoe UI"/>
          <w:color w:val="0F172A"/>
          <w:sz w:val="20"/>
        </w:rPr>
        <w:t>The market for autonomous AI agents has transitioned from academic proof-of-concept to mainstream enterprise infrastructure:</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r>
              <w:rPr>
                <w:rFonts w:ascii="Segoe UI" w:hAnsi="Segoe UI"/>
                <w:b/>
                <w:color w:val="FFFFFF"/>
                <w:sz w:val="19"/>
              </w:rPr>
              <w:t>Market Segment</w:t>
            </w:r>
          </w:p>
        </w:tc>
        <w:tc>
          <w:tcPr>
            <w:tcW w:type="dxa" w:w="3120"/>
            <w:shd w:fill="1E3A8A"/>
            <w:tcMar>
              <w:top w:w="80" w:type="dxa"/>
              <w:bottom w:w="80" w:type="dxa"/>
              <w:left w:w="100" w:type="dxa"/>
              <w:right w:w="100" w:type="dxa"/>
            </w:tcMar>
          </w:tcPr>
          <w:p>
            <w:r>
              <w:rPr>
                <w:rFonts w:ascii="Segoe UI" w:hAnsi="Segoe UI"/>
                <w:b/>
                <w:color w:val="FFFFFF"/>
                <w:sz w:val="19"/>
              </w:rPr>
              <w:t>Value (USD)</w:t>
            </w:r>
          </w:p>
        </w:tc>
        <w:tc>
          <w:tcPr>
            <w:tcW w:type="dxa" w:w="3120"/>
            <w:shd w:fill="1E3A8A"/>
            <w:tcMar>
              <w:top w:w="80" w:type="dxa"/>
              <w:bottom w:w="80" w:type="dxa"/>
              <w:left w:w="100" w:type="dxa"/>
              <w:right w:w="100" w:type="dxa"/>
            </w:tcMar>
          </w:tcPr>
          <w:p>
            <w:r>
              <w:rPr>
                <w:rFonts w:ascii="Segoe UI" w:hAnsi="Segoe UI"/>
                <w:b/>
                <w:color w:val="FFFFFF"/>
                <w:sz w:val="19"/>
              </w:rPr>
              <w:t>Mathematical Sourcing &amp; Methodology</w:t>
            </w:r>
          </w:p>
        </w:tc>
      </w:tr>
      <w:tr>
        <w:tc>
          <w:tcPr>
            <w:tcW w:type="dxa" w:w="3120"/>
            <w:shd w:fill="F8FAFC"/>
            <w:tcMar>
              <w:top w:w="80" w:type="dxa"/>
              <w:bottom w:w="80" w:type="dxa"/>
              <w:left w:w="100" w:type="dxa"/>
              <w:right w:w="100" w:type="dxa"/>
            </w:tcMar>
          </w:tcPr>
          <w:p>
            <w:r>
              <w:rPr>
                <w:rFonts w:ascii="Segoe UI" w:hAnsi="Segoe UI"/>
                <w:sz w:val="18"/>
              </w:rPr>
              <w:t>TAM (Total Addressable Market)</w:t>
            </w:r>
          </w:p>
        </w:tc>
        <w:tc>
          <w:tcPr>
            <w:tcW w:type="dxa" w:w="3120"/>
            <w:shd w:fill="F8FAFC"/>
            <w:tcMar>
              <w:top w:w="80" w:type="dxa"/>
              <w:bottom w:w="80" w:type="dxa"/>
              <w:left w:w="100" w:type="dxa"/>
              <w:right w:w="100" w:type="dxa"/>
            </w:tcMar>
          </w:tcPr>
          <w:p>
            <w:r>
              <w:rPr>
                <w:rFonts w:ascii="Segoe UI" w:hAnsi="Segoe UI"/>
                <w:b/>
                <w:sz w:val="18"/>
              </w:rPr>
              <w:t>$10.9 Billion</w:t>
            </w:r>
          </w:p>
        </w:tc>
        <w:tc>
          <w:tcPr>
            <w:tcW w:type="dxa" w:w="3120"/>
            <w:shd w:fill="F8FAFC"/>
            <w:tcMar>
              <w:top w:w="80" w:type="dxa"/>
              <w:bottom w:w="80" w:type="dxa"/>
              <w:left w:w="100" w:type="dxa"/>
              <w:right w:w="100" w:type="dxa"/>
            </w:tcMar>
          </w:tcPr>
          <w:p>
            <w:r>
              <w:rPr>
                <w:rFonts w:ascii="Segoe UI" w:hAnsi="Segoe UI"/>
                <w:sz w:val="18"/>
              </w:rPr>
              <w:t>Grand View Research (2026 Global AI Agent Market), expanding at a 49.6% CAGR toward $182.9 Billion by 2033.</w:t>
            </w:r>
          </w:p>
        </w:tc>
      </w:tr>
      <w:tr>
        <w:tc>
          <w:tcPr>
            <w:tcW w:type="dxa" w:w="3120"/>
            <w:shd w:fill="FFFFFF"/>
            <w:tcMar>
              <w:top w:w="80" w:type="dxa"/>
              <w:bottom w:w="80" w:type="dxa"/>
              <w:left w:w="100" w:type="dxa"/>
              <w:right w:w="100" w:type="dxa"/>
            </w:tcMar>
          </w:tcPr>
          <w:p>
            <w:r>
              <w:rPr>
                <w:rFonts w:ascii="Segoe UI" w:hAnsi="Segoe UI"/>
                <w:sz w:val="18"/>
              </w:rPr>
              <w:t>SAM (Serviceable Addressable Market)</w:t>
            </w:r>
          </w:p>
        </w:tc>
        <w:tc>
          <w:tcPr>
            <w:tcW w:type="dxa" w:w="3120"/>
            <w:shd w:fill="FFFFFF"/>
            <w:tcMar>
              <w:top w:w="80" w:type="dxa"/>
              <w:bottom w:w="80" w:type="dxa"/>
              <w:left w:w="100" w:type="dxa"/>
              <w:right w:w="100" w:type="dxa"/>
            </w:tcMar>
          </w:tcPr>
          <w:p>
            <w:r>
              <w:rPr>
                <w:rFonts w:ascii="Segoe UI" w:hAnsi="Segoe UI"/>
                <w:b/>
                <w:sz w:val="18"/>
              </w:rPr>
              <w:t>$2.8 Billion</w:t>
            </w:r>
          </w:p>
        </w:tc>
        <w:tc>
          <w:tcPr>
            <w:tcW w:type="dxa" w:w="3120"/>
            <w:shd w:fill="FFFFFF"/>
            <w:tcMar>
              <w:top w:w="80" w:type="dxa"/>
              <w:bottom w:w="80" w:type="dxa"/>
              <w:left w:w="100" w:type="dxa"/>
              <w:right w:w="100" w:type="dxa"/>
            </w:tcMar>
          </w:tcPr>
          <w:p>
            <w:r>
              <w:rPr>
                <w:rFonts w:ascii="Segoe UI" w:hAnsi="Segoe UI"/>
                <w:sz w:val="18"/>
              </w:rPr>
              <w:t>Enterprise agent orchestration, control planes, and governance platforms (~26% of enterprise agentic software spend).</w:t>
            </w:r>
          </w:p>
        </w:tc>
      </w:tr>
      <w:tr>
        <w:tc>
          <w:tcPr>
            <w:tcW w:type="dxa" w:w="3120"/>
            <w:shd w:fill="F8FAFC"/>
            <w:tcMar>
              <w:top w:w="80" w:type="dxa"/>
              <w:bottom w:w="80" w:type="dxa"/>
              <w:left w:w="100" w:type="dxa"/>
              <w:right w:w="100" w:type="dxa"/>
            </w:tcMar>
          </w:tcPr>
          <w:p>
            <w:r>
              <w:rPr>
                <w:rFonts w:ascii="Segoe UI" w:hAnsi="Segoe UI"/>
                <w:sz w:val="18"/>
              </w:rPr>
              <w:t>SOM (Serviceable Obtainable Market)</w:t>
            </w:r>
          </w:p>
        </w:tc>
        <w:tc>
          <w:tcPr>
            <w:tcW w:type="dxa" w:w="3120"/>
            <w:shd w:fill="F8FAFC"/>
            <w:tcMar>
              <w:top w:w="80" w:type="dxa"/>
              <w:bottom w:w="80" w:type="dxa"/>
              <w:left w:w="100" w:type="dxa"/>
              <w:right w:w="100" w:type="dxa"/>
            </w:tcMar>
          </w:tcPr>
          <w:p>
            <w:r>
              <w:rPr>
                <w:rFonts w:ascii="Segoe UI" w:hAnsi="Segoe UI"/>
                <w:b/>
                <w:sz w:val="18"/>
              </w:rPr>
              <w:t>$42.0 Million</w:t>
            </w:r>
          </w:p>
        </w:tc>
        <w:tc>
          <w:tcPr>
            <w:tcW w:type="dxa" w:w="3120"/>
            <w:shd w:fill="F8FAFC"/>
            <w:tcMar>
              <w:top w:w="80" w:type="dxa"/>
              <w:bottom w:w="80" w:type="dxa"/>
              <w:left w:w="100" w:type="dxa"/>
              <w:right w:w="100" w:type="dxa"/>
            </w:tcMar>
          </w:tcPr>
          <w:p>
            <w:r>
              <w:rPr>
                <w:rFonts w:ascii="Segoe UI" w:hAnsi="Segoe UI"/>
                <w:sz w:val="18"/>
              </w:rPr>
              <w:t>1,400 mid-market engineering teams in India &amp; North America x $30,000 blended annual contract value over 24 months [PLACEHOLDER: confirm].</w:t>
            </w:r>
          </w:p>
        </w:tc>
      </w:tr>
    </w:tbl>
    <w:p>
      <w:pPr>
        <w:spacing w:after="160" w:line="276" w:lineRule="auto"/>
      </w:pPr>
      <w:r>
        <w:rPr>
          <w:rFonts w:ascii="Segoe UI" w:hAnsi="Segoe UI"/>
          <w:color w:val="0F172A"/>
          <w:sz w:val="20"/>
        </w:rPr>
        <w:t>Why Now? The 2026 Autonomous Agent Inflection: In 2024, enterprises experimented with generative prompts. In 2025, individual developers adopted single-agent coding assistants. In 2026, enterprise engineering leaders face an unmanageable crisis of multi-agent sprawl. Furthermore, the dual-corridor strategy—leveraging India's massive engineering talent pool for rapid development and testing while targeting the high-ACV North American market—provides GeetorusAI with unmatched structural capital efficiency.</w:t>
      </w:r>
    </w:p>
    <w:p>
      <w:pPr>
        <w:spacing w:before="240" w:after="80"/>
      </w:pPr>
      <w:r>
        <w:rPr>
          <w:rFonts w:ascii="Segoe UI" w:hAnsi="Segoe UI"/>
          <w:b/>
          <w:color w:val="0284C7"/>
          <w:sz w:val="26"/>
        </w:rPr>
        <w:t>Section 5: Competitive Benchmarking &amp; Defensible Moat</w:t>
      </w:r>
    </w:p>
    <w:p>
      <w:pPr>
        <w:spacing w:after="120" w:line="276" w:lineRule="auto"/>
      </w:pPr>
      <w:r>
        <w:rPr>
          <w:rFonts w:ascii="Segoe UI" w:hAnsi="Segoe UI"/>
          <w:color w:val="0F172A"/>
          <w:sz w:val="20"/>
        </w:rPr>
        <w:t>The competitive landscape is divided between raw developer libraries (LangGraph, CrewAI, AutoGen), single-agent coding silos (Devin, OpenHands), and lightweight desktop wrappers (Munder Difflin, Paperclip AI). GeetorusAI is the only comprehensive, enterprise-ready control plane: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60" w:type="dxa"/>
              <w:bottom w:w="60" w:type="dxa"/>
              <w:left w:w="80" w:type="dxa"/>
              <w:right w:w="80" w:type="dxa"/>
            </w:tcMar>
          </w:tcPr>
          <w:p>
            <w:r>
              <w:rPr>
                <w:rFonts w:ascii="Segoe UI" w:hAnsi="Segoe UI"/>
                <w:b/>
                <w:color w:val="FFFFFF"/>
                <w:sz w:val="17"/>
              </w:rPr>
              <w:t>Feature</w:t>
            </w:r>
          </w:p>
        </w:tc>
        <w:tc>
          <w:tcPr>
            <w:tcW w:type="dxa" w:w="1560"/>
            <w:shd w:fill="1E3A8A"/>
            <w:tcMar>
              <w:top w:w="60" w:type="dxa"/>
              <w:bottom w:w="60" w:type="dxa"/>
              <w:left w:w="80" w:type="dxa"/>
              <w:right w:w="80" w:type="dxa"/>
            </w:tcMar>
          </w:tcPr>
          <w:p>
            <w:r>
              <w:rPr>
                <w:rFonts w:ascii="Segoe UI" w:hAnsi="Segoe UI"/>
                <w:b/>
                <w:color w:val="FFFFFF"/>
                <w:sz w:val="17"/>
              </w:rPr>
              <w:t>GeetorusAI</w:t>
            </w:r>
          </w:p>
        </w:tc>
        <w:tc>
          <w:tcPr>
            <w:tcW w:type="dxa" w:w="1560"/>
            <w:shd w:fill="1E3A8A"/>
            <w:tcMar>
              <w:top w:w="60" w:type="dxa"/>
              <w:bottom w:w="60" w:type="dxa"/>
              <w:left w:w="80" w:type="dxa"/>
              <w:right w:w="80" w:type="dxa"/>
            </w:tcMar>
          </w:tcPr>
          <w:p>
            <w:r>
              <w:rPr>
                <w:rFonts w:ascii="Segoe UI" w:hAnsi="Segoe UI"/>
                <w:b/>
                <w:color w:val="FFFFFF"/>
                <w:sz w:val="17"/>
              </w:rPr>
              <w:t>Munder Difflin</w:t>
            </w:r>
          </w:p>
        </w:tc>
        <w:tc>
          <w:tcPr>
            <w:tcW w:type="dxa" w:w="1560"/>
            <w:shd w:fill="1E3A8A"/>
            <w:tcMar>
              <w:top w:w="60" w:type="dxa"/>
              <w:bottom w:w="60" w:type="dxa"/>
              <w:left w:w="80" w:type="dxa"/>
              <w:right w:w="80" w:type="dxa"/>
            </w:tcMar>
          </w:tcPr>
          <w:p>
            <w:r>
              <w:rPr>
                <w:rFonts w:ascii="Segoe UI" w:hAnsi="Segoe UI"/>
                <w:b/>
                <w:color w:val="FFFFFF"/>
                <w:sz w:val="17"/>
              </w:rPr>
              <w:t>Paperclip AI</w:t>
            </w:r>
          </w:p>
        </w:tc>
        <w:tc>
          <w:tcPr>
            <w:tcW w:type="dxa" w:w="1560"/>
            <w:shd w:fill="1E3A8A"/>
            <w:tcMar>
              <w:top w:w="60" w:type="dxa"/>
              <w:bottom w:w="60" w:type="dxa"/>
              <w:left w:w="80" w:type="dxa"/>
              <w:right w:w="80" w:type="dxa"/>
            </w:tcMar>
          </w:tcPr>
          <w:p>
            <w:r>
              <w:rPr>
                <w:rFonts w:ascii="Segoe UI" w:hAnsi="Segoe UI"/>
                <w:b/>
                <w:color w:val="FFFFFF"/>
                <w:sz w:val="17"/>
              </w:rPr>
              <w:t>LangGraph</w:t>
            </w:r>
          </w:p>
        </w:tc>
        <w:tc>
          <w:tcPr>
            <w:tcW w:type="dxa" w:w="1560"/>
            <w:shd w:fill="1E3A8A"/>
            <w:tcMar>
              <w:top w:w="60" w:type="dxa"/>
              <w:bottom w:w="60" w:type="dxa"/>
              <w:left w:w="80" w:type="dxa"/>
              <w:right w:w="80" w:type="dxa"/>
            </w:tcMar>
          </w:tcPr>
          <w:p>
            <w:r>
              <w:rPr>
                <w:rFonts w:ascii="Segoe UI" w:hAnsi="Segoe UI"/>
                <w:b/>
                <w:color w:val="FFFFFF"/>
                <w:sz w:val="17"/>
              </w:rPr>
              <w:t>CrewAI</w:t>
            </w:r>
          </w:p>
        </w:tc>
      </w:tr>
      <w:tr>
        <w:tc>
          <w:tcPr>
            <w:tcW w:type="dxa" w:w="1560"/>
            <w:shd w:fill="F8FAFC"/>
            <w:tcMar>
              <w:top w:w="60" w:type="dxa"/>
              <w:bottom w:w="60" w:type="dxa"/>
              <w:left w:w="80" w:type="dxa"/>
              <w:right w:w="80" w:type="dxa"/>
            </w:tcMar>
          </w:tcPr>
          <w:p>
            <w:r>
              <w:rPr>
                <w:rFonts w:ascii="Segoe UI" w:hAnsi="Segoe UI"/>
                <w:sz w:val="17"/>
              </w:rPr>
              <w:t>Virtual Company Org Chart</w:t>
            </w:r>
          </w:p>
        </w:tc>
        <w:tc>
          <w:tcPr>
            <w:tcW w:type="dxa" w:w="1560"/>
            <w:shd w:fill="F8FAFC"/>
            <w:tcMar>
              <w:top w:w="60" w:type="dxa"/>
              <w:bottom w:w="60" w:type="dxa"/>
              <w:left w:w="80" w:type="dxa"/>
              <w:right w:w="80" w:type="dxa"/>
            </w:tcMar>
          </w:tcPr>
          <w:p>
            <w:r>
              <w:rPr>
                <w:rFonts w:ascii="Segoe UI" w:hAnsi="Segoe UI"/>
                <w:b/>
                <w:color w:val="10B981"/>
                <w:sz w:val="17"/>
              </w:rPr>
              <w:t>YES (Native SVG)</w:t>
            </w:r>
          </w:p>
        </w:tc>
        <w:tc>
          <w:tcPr>
            <w:tcW w:type="dxa" w:w="1560"/>
            <w:shd w:fill="F8FAFC"/>
            <w:tcMar>
              <w:top w:w="60" w:type="dxa"/>
              <w:bottom w:w="60" w:type="dxa"/>
              <w:left w:w="80" w:type="dxa"/>
              <w:right w:w="80" w:type="dxa"/>
            </w:tcMar>
          </w:tcPr>
          <w:p>
            <w:r>
              <w:rPr>
                <w:rFonts w:ascii="Segoe UI" w:hAnsi="Segoe UI"/>
                <w:sz w:val="17"/>
              </w:rPr>
              <w:t>NO (Parody UI)</w:t>
            </w:r>
          </w:p>
        </w:tc>
        <w:tc>
          <w:tcPr>
            <w:tcW w:type="dxa" w:w="1560"/>
            <w:shd w:fill="F8FAFC"/>
            <w:tcMar>
              <w:top w:w="60" w:type="dxa"/>
              <w:bottom w:w="60" w:type="dxa"/>
              <w:left w:w="80" w:type="dxa"/>
              <w:right w:w="80" w:type="dxa"/>
            </w:tcMar>
          </w:tcPr>
          <w:p>
            <w:r>
              <w:rPr>
                <w:rFonts w:ascii="Segoe UI" w:hAnsi="Segoe UI"/>
                <w:sz w:val="17"/>
              </w:rPr>
              <w:t>YES (Basic)</w:t>
            </w:r>
          </w:p>
        </w:tc>
        <w:tc>
          <w:tcPr>
            <w:tcW w:type="dxa" w:w="1560"/>
            <w:shd w:fill="F8FAFC"/>
            <w:tcMar>
              <w:top w:w="60" w:type="dxa"/>
              <w:bottom w:w="60" w:type="dxa"/>
              <w:left w:w="80" w:type="dxa"/>
              <w:right w:w="80" w:type="dxa"/>
            </w:tcMar>
          </w:tcPr>
          <w:p>
            <w:r>
              <w:rPr>
                <w:rFonts w:ascii="Segoe UI" w:hAnsi="Segoe UI"/>
                <w:sz w:val="17"/>
              </w:rPr>
              <w:t>NO (SDK)</w:t>
            </w:r>
          </w:p>
        </w:tc>
        <w:tc>
          <w:tcPr>
            <w:tcW w:type="dxa" w:w="1560"/>
            <w:shd w:fill="F8FAFC"/>
            <w:tcMar>
              <w:top w:w="60" w:type="dxa"/>
              <w:bottom w:w="60" w:type="dxa"/>
              <w:left w:w="80" w:type="dxa"/>
              <w:right w:w="80" w:type="dxa"/>
            </w:tcMar>
          </w:tcPr>
          <w:p>
            <w:r>
              <w:rPr>
                <w:rFonts w:ascii="Segoe UI" w:hAnsi="Segoe UI"/>
                <w:sz w:val="17"/>
              </w:rPr>
              <w:t>NO (Roles only)</w:t>
            </w:r>
          </w:p>
        </w:tc>
      </w:tr>
      <w:tr>
        <w:tc>
          <w:tcPr>
            <w:tcW w:type="dxa" w:w="1560"/>
            <w:shd w:fill="FFFFFF"/>
            <w:tcMar>
              <w:top w:w="60" w:type="dxa"/>
              <w:bottom w:w="60" w:type="dxa"/>
              <w:left w:w="80" w:type="dxa"/>
              <w:right w:w="80" w:type="dxa"/>
            </w:tcMar>
          </w:tcPr>
          <w:p>
            <w:r>
              <w:rPr>
                <w:rFonts w:ascii="Segoe UI" w:hAnsi="Segoe UI"/>
                <w:sz w:val="17"/>
              </w:rPr>
              <w:t>Embedded DB (Zero Setup)</w:t>
            </w:r>
          </w:p>
        </w:tc>
        <w:tc>
          <w:tcPr>
            <w:tcW w:type="dxa" w:w="1560"/>
            <w:shd w:fill="FFFFFF"/>
            <w:tcMar>
              <w:top w:w="60" w:type="dxa"/>
              <w:bottom w:w="60" w:type="dxa"/>
              <w:left w:w="80" w:type="dxa"/>
              <w:right w:w="80" w:type="dxa"/>
            </w:tcMar>
          </w:tcPr>
          <w:p>
            <w:r>
              <w:rPr>
                <w:rFonts w:ascii="Segoe UI" w:hAnsi="Segoe UI"/>
                <w:b/>
                <w:color w:val="10B981"/>
                <w:sz w:val="17"/>
              </w:rPr>
              <w:t>YES (Postgres)</w:t>
            </w:r>
          </w:p>
        </w:tc>
        <w:tc>
          <w:tcPr>
            <w:tcW w:type="dxa" w:w="1560"/>
            <w:shd w:fill="FFFFFF"/>
            <w:tcMar>
              <w:top w:w="60" w:type="dxa"/>
              <w:bottom w:w="60" w:type="dxa"/>
              <w:left w:w="80" w:type="dxa"/>
              <w:right w:w="80" w:type="dxa"/>
            </w:tcMar>
          </w:tcPr>
          <w:p>
            <w:r>
              <w:rPr>
                <w:rFonts w:ascii="Segoe UI" w:hAnsi="Segoe UI"/>
                <w:sz w:val="17"/>
              </w:rPr>
              <w:t>NO (Files)</w:t>
            </w:r>
          </w:p>
        </w:tc>
        <w:tc>
          <w:tcPr>
            <w:tcW w:type="dxa" w:w="1560"/>
            <w:shd w:fill="FFFFFF"/>
            <w:tcMar>
              <w:top w:w="60" w:type="dxa"/>
              <w:bottom w:w="60" w:type="dxa"/>
              <w:left w:w="80" w:type="dxa"/>
              <w:right w:w="80" w:type="dxa"/>
            </w:tcMar>
          </w:tcPr>
          <w:p>
            <w:r>
              <w:rPr>
                <w:rFonts w:ascii="Segoe UI" w:hAnsi="Segoe UI"/>
                <w:sz w:val="17"/>
              </w:rPr>
              <w:t>NO (Manual PG)</w:t>
            </w:r>
          </w:p>
        </w:tc>
        <w:tc>
          <w:tcPr>
            <w:tcW w:type="dxa" w:w="1560"/>
            <w:shd w:fill="FFFFFF"/>
            <w:tcMar>
              <w:top w:w="60" w:type="dxa"/>
              <w:bottom w:w="60" w:type="dxa"/>
              <w:left w:w="80" w:type="dxa"/>
              <w:right w:w="80" w:type="dxa"/>
            </w:tcMar>
          </w:tcPr>
          <w:p>
            <w:r>
              <w:rPr>
                <w:rFonts w:ascii="Segoe UI" w:hAnsi="Segoe UI"/>
                <w:sz w:val="17"/>
              </w:rPr>
              <w:t>NO (Bring DB)</w:t>
            </w:r>
          </w:p>
        </w:tc>
        <w:tc>
          <w:tcPr>
            <w:tcW w:type="dxa" w:w="1560"/>
            <w:shd w:fill="FFFFFF"/>
            <w:tcMar>
              <w:top w:w="60" w:type="dxa"/>
              <w:bottom w:w="60" w:type="dxa"/>
              <w:left w:w="80" w:type="dxa"/>
              <w:right w:w="80" w:type="dxa"/>
            </w:tcMar>
          </w:tcPr>
          <w:p>
            <w:r>
              <w:rPr>
                <w:rFonts w:ascii="Segoe UI" w:hAnsi="Segoe UI"/>
                <w:sz w:val="17"/>
              </w:rPr>
              <w:t>NO (Cloud)</w:t>
            </w:r>
          </w:p>
        </w:tc>
      </w:tr>
      <w:tr>
        <w:tc>
          <w:tcPr>
            <w:tcW w:type="dxa" w:w="1560"/>
            <w:shd w:fill="F8FAFC"/>
            <w:tcMar>
              <w:top w:w="60" w:type="dxa"/>
              <w:bottom w:w="60" w:type="dxa"/>
              <w:left w:w="80" w:type="dxa"/>
              <w:right w:w="80" w:type="dxa"/>
            </w:tcMar>
          </w:tcPr>
          <w:p>
            <w:r>
              <w:rPr>
                <w:rFonts w:ascii="Segoe UI" w:hAnsi="Segoe UI"/>
                <w:sz w:val="17"/>
              </w:rPr>
              <w:t>Anthropic MCP Standard</w:t>
            </w:r>
          </w:p>
        </w:tc>
        <w:tc>
          <w:tcPr>
            <w:tcW w:type="dxa" w:w="1560"/>
            <w:shd w:fill="F8FAFC"/>
            <w:tcMar>
              <w:top w:w="60" w:type="dxa"/>
              <w:bottom w:w="60" w:type="dxa"/>
              <w:left w:w="80" w:type="dxa"/>
              <w:right w:w="80" w:type="dxa"/>
            </w:tcMar>
          </w:tcPr>
          <w:p>
            <w:r>
              <w:rPr>
                <w:rFonts w:ascii="Segoe UI" w:hAnsi="Segoe UI"/>
                <w:b/>
                <w:color w:val="10B981"/>
                <w:sz w:val="17"/>
              </w:rPr>
              <w:t>YES (Full Gateway)</w:t>
            </w:r>
          </w:p>
        </w:tc>
        <w:tc>
          <w:tcPr>
            <w:tcW w:type="dxa" w:w="1560"/>
            <w:shd w:fill="F8FAFC"/>
            <w:tcMar>
              <w:top w:w="60" w:type="dxa"/>
              <w:bottom w:w="60" w:type="dxa"/>
              <w:left w:w="80" w:type="dxa"/>
              <w:right w:w="80" w:type="dxa"/>
            </w:tcMar>
          </w:tcPr>
          <w:p>
            <w:r>
              <w:rPr>
                <w:rFonts w:ascii="Segoe UI" w:hAnsi="Segoe UI"/>
                <w:sz w:val="17"/>
              </w:rPr>
              <w:t>NO (CLI wrap)</w:t>
            </w:r>
          </w:p>
        </w:tc>
        <w:tc>
          <w:tcPr>
            <w:tcW w:type="dxa" w:w="1560"/>
            <w:shd w:fill="F8FAFC"/>
            <w:tcMar>
              <w:top w:w="60" w:type="dxa"/>
              <w:bottom w:w="60" w:type="dxa"/>
              <w:left w:w="80" w:type="dxa"/>
              <w:right w:w="80" w:type="dxa"/>
            </w:tcMar>
          </w:tcPr>
          <w:p>
            <w:r>
              <w:rPr>
                <w:rFonts w:ascii="Segoe UI" w:hAnsi="Segoe UI"/>
                <w:sz w:val="17"/>
              </w:rPr>
              <w:t>NO</w:t>
            </w:r>
          </w:p>
        </w:tc>
        <w:tc>
          <w:tcPr>
            <w:tcW w:type="dxa" w:w="1560"/>
            <w:shd w:fill="F8FAFC"/>
            <w:tcMar>
              <w:top w:w="60" w:type="dxa"/>
              <w:bottom w:w="60" w:type="dxa"/>
              <w:left w:w="80" w:type="dxa"/>
              <w:right w:w="80" w:type="dxa"/>
            </w:tcMar>
          </w:tcPr>
          <w:p>
            <w:r>
              <w:rPr>
                <w:rFonts w:ascii="Segoe UI" w:hAnsi="Segoe UI"/>
                <w:sz w:val="17"/>
              </w:rPr>
              <w:t>Partial</w:t>
            </w:r>
          </w:p>
        </w:tc>
        <w:tc>
          <w:tcPr>
            <w:tcW w:type="dxa" w:w="1560"/>
            <w:shd w:fill="F8FAFC"/>
            <w:tcMar>
              <w:top w:w="60" w:type="dxa"/>
              <w:bottom w:w="60" w:type="dxa"/>
              <w:left w:w="80" w:type="dxa"/>
              <w:right w:w="80" w:type="dxa"/>
            </w:tcMar>
          </w:tcPr>
          <w:p>
            <w:r>
              <w:rPr>
                <w:rFonts w:ascii="Segoe UI" w:hAnsi="Segoe UI"/>
                <w:sz w:val="17"/>
              </w:rPr>
              <w:t>Partial</w:t>
            </w:r>
          </w:p>
        </w:tc>
      </w:tr>
      <w:tr>
        <w:tc>
          <w:tcPr>
            <w:tcW w:type="dxa" w:w="1560"/>
            <w:shd w:fill="FFFFFF"/>
            <w:tcMar>
              <w:top w:w="60" w:type="dxa"/>
              <w:bottom w:w="60" w:type="dxa"/>
              <w:left w:w="80" w:type="dxa"/>
              <w:right w:w="80" w:type="dxa"/>
            </w:tcMar>
          </w:tcPr>
          <w:p>
            <w:r>
              <w:rPr>
                <w:rFonts w:ascii="Segoe UI" w:hAnsi="Segoe UI"/>
                <w:sz w:val="17"/>
              </w:rPr>
              <w:t>Hard Daily USD Budget Caps</w:t>
            </w:r>
          </w:p>
        </w:tc>
        <w:tc>
          <w:tcPr>
            <w:tcW w:type="dxa" w:w="1560"/>
            <w:shd w:fill="FFFFFF"/>
            <w:tcMar>
              <w:top w:w="60" w:type="dxa"/>
              <w:bottom w:w="60" w:type="dxa"/>
              <w:left w:w="80" w:type="dxa"/>
              <w:right w:w="80" w:type="dxa"/>
            </w:tcMar>
          </w:tcPr>
          <w:p>
            <w:r>
              <w:rPr>
                <w:rFonts w:ascii="Segoe UI" w:hAnsi="Segoe UI"/>
                <w:b/>
                <w:color w:val="10B981"/>
                <w:sz w:val="17"/>
              </w:rPr>
              <w:t>YES (Real-time)</w:t>
            </w:r>
          </w:p>
        </w:tc>
        <w:tc>
          <w:tcPr>
            <w:tcW w:type="dxa" w:w="1560"/>
            <w:shd w:fill="FFFFFF"/>
            <w:tcMar>
              <w:top w:w="60" w:type="dxa"/>
              <w:bottom w:w="60" w:type="dxa"/>
              <w:left w:w="80" w:type="dxa"/>
              <w:right w:w="80" w:type="dxa"/>
            </w:tcMar>
          </w:tcPr>
          <w:p>
            <w:r>
              <w:rPr>
                <w:rFonts w:ascii="Segoe UI" w:hAnsi="Segoe UI"/>
                <w:sz w:val="17"/>
              </w:rPr>
              <w:t>NO</w:t>
            </w:r>
          </w:p>
        </w:tc>
        <w:tc>
          <w:tcPr>
            <w:tcW w:type="dxa" w:w="1560"/>
            <w:shd w:fill="FFFFFF"/>
            <w:tcMar>
              <w:top w:w="60" w:type="dxa"/>
              <w:bottom w:w="60" w:type="dxa"/>
              <w:left w:w="80" w:type="dxa"/>
              <w:right w:w="80" w:type="dxa"/>
            </w:tcMar>
          </w:tcPr>
          <w:p>
            <w:r>
              <w:rPr>
                <w:rFonts w:ascii="Segoe UI" w:hAnsi="Segoe UI"/>
                <w:sz w:val="17"/>
              </w:rPr>
              <w:t>Partial</w:t>
            </w:r>
          </w:p>
        </w:tc>
        <w:tc>
          <w:tcPr>
            <w:tcW w:type="dxa" w:w="1560"/>
            <w:shd w:fill="FFFFFF"/>
            <w:tcMar>
              <w:top w:w="60" w:type="dxa"/>
              <w:bottom w:w="60" w:type="dxa"/>
              <w:left w:w="80" w:type="dxa"/>
              <w:right w:w="80" w:type="dxa"/>
            </w:tcMar>
          </w:tcPr>
          <w:p>
            <w:r>
              <w:rPr>
                <w:rFonts w:ascii="Segoe UI" w:hAnsi="Segoe UI"/>
                <w:sz w:val="17"/>
              </w:rPr>
              <w:t>NO</w:t>
            </w:r>
          </w:p>
        </w:tc>
        <w:tc>
          <w:tcPr>
            <w:tcW w:type="dxa" w:w="1560"/>
            <w:shd w:fill="FFFFFF"/>
            <w:tcMar>
              <w:top w:w="60" w:type="dxa"/>
              <w:bottom w:w="60" w:type="dxa"/>
              <w:left w:w="80" w:type="dxa"/>
              <w:right w:w="80" w:type="dxa"/>
            </w:tcMar>
          </w:tcPr>
          <w:p>
            <w:r>
              <w:rPr>
                <w:rFonts w:ascii="Segoe UI" w:hAnsi="Segoe UI"/>
                <w:sz w:val="17"/>
              </w:rPr>
              <w:t>Cloud Only</w:t>
            </w:r>
          </w:p>
        </w:tc>
      </w:tr>
      <w:tr>
        <w:tc>
          <w:tcPr>
            <w:tcW w:type="dxa" w:w="1560"/>
            <w:shd w:fill="F8FAFC"/>
            <w:tcMar>
              <w:top w:w="60" w:type="dxa"/>
              <w:bottom w:w="60" w:type="dxa"/>
              <w:left w:w="80" w:type="dxa"/>
              <w:right w:w="80" w:type="dxa"/>
            </w:tcMar>
          </w:tcPr>
          <w:p>
            <w:r>
              <w:rPr>
                <w:rFonts w:ascii="Segoe UI" w:hAnsi="Segoe UI"/>
                <w:sz w:val="17"/>
              </w:rPr>
              <w:t>HMAC Cryptographic Signing</w:t>
            </w:r>
          </w:p>
        </w:tc>
        <w:tc>
          <w:tcPr>
            <w:tcW w:type="dxa" w:w="1560"/>
            <w:shd w:fill="F8FAFC"/>
            <w:tcMar>
              <w:top w:w="60" w:type="dxa"/>
              <w:bottom w:w="60" w:type="dxa"/>
              <w:left w:w="80" w:type="dxa"/>
              <w:right w:w="80" w:type="dxa"/>
            </w:tcMar>
          </w:tcPr>
          <w:p>
            <w:r>
              <w:rPr>
                <w:rFonts w:ascii="Segoe UI" w:hAnsi="Segoe UI"/>
                <w:b/>
                <w:color w:val="10B981"/>
                <w:sz w:val="17"/>
              </w:rPr>
              <w:t>YES (SHA-256)</w:t>
            </w:r>
          </w:p>
        </w:tc>
        <w:tc>
          <w:tcPr>
            <w:tcW w:type="dxa" w:w="1560"/>
            <w:shd w:fill="F8FAFC"/>
            <w:tcMar>
              <w:top w:w="60" w:type="dxa"/>
              <w:bottom w:w="60" w:type="dxa"/>
              <w:left w:w="80" w:type="dxa"/>
              <w:right w:w="80" w:type="dxa"/>
            </w:tcMar>
          </w:tcPr>
          <w:p>
            <w:r>
              <w:rPr>
                <w:rFonts w:ascii="Segoe UI" w:hAnsi="Segoe UI"/>
                <w:sz w:val="17"/>
              </w:rPr>
              <w:t>NO</w:t>
            </w:r>
          </w:p>
        </w:tc>
        <w:tc>
          <w:tcPr>
            <w:tcW w:type="dxa" w:w="1560"/>
            <w:shd w:fill="F8FAFC"/>
            <w:tcMar>
              <w:top w:w="60" w:type="dxa"/>
              <w:bottom w:w="60" w:type="dxa"/>
              <w:left w:w="80" w:type="dxa"/>
              <w:right w:w="80" w:type="dxa"/>
            </w:tcMar>
          </w:tcPr>
          <w:p>
            <w:r>
              <w:rPr>
                <w:rFonts w:ascii="Segoe UI" w:hAnsi="Segoe UI"/>
                <w:sz w:val="17"/>
              </w:rPr>
              <w:t>NO</w:t>
            </w:r>
          </w:p>
        </w:tc>
        <w:tc>
          <w:tcPr>
            <w:tcW w:type="dxa" w:w="1560"/>
            <w:shd w:fill="F8FAFC"/>
            <w:tcMar>
              <w:top w:w="60" w:type="dxa"/>
              <w:bottom w:w="60" w:type="dxa"/>
              <w:left w:w="80" w:type="dxa"/>
              <w:right w:w="80" w:type="dxa"/>
            </w:tcMar>
          </w:tcPr>
          <w:p>
            <w:r>
              <w:rPr>
                <w:rFonts w:ascii="Segoe UI" w:hAnsi="Segoe UI"/>
                <w:sz w:val="17"/>
              </w:rPr>
              <w:t>NO</w:t>
            </w:r>
          </w:p>
        </w:tc>
        <w:tc>
          <w:tcPr>
            <w:tcW w:type="dxa" w:w="1560"/>
            <w:shd w:fill="F8FAFC"/>
            <w:tcMar>
              <w:top w:w="60" w:type="dxa"/>
              <w:bottom w:w="60" w:type="dxa"/>
              <w:left w:w="80" w:type="dxa"/>
              <w:right w:w="80" w:type="dxa"/>
            </w:tcMar>
          </w:tcPr>
          <w:p>
            <w:r>
              <w:rPr>
                <w:rFonts w:ascii="Segoe UI" w:hAnsi="Segoe UI"/>
                <w:sz w:val="17"/>
              </w:rPr>
              <w:t>NO</w:t>
            </w:r>
          </w:p>
        </w:tc>
      </w:tr>
    </w:tbl>
    <w:p>
      <w:pPr>
        <w:spacing w:after="120" w:line="276" w:lineRule="auto"/>
      </w:pPr>
      <w:r>
        <w:rPr>
          <w:rFonts w:ascii="Segoe UI" w:hAnsi="Segoe UI"/>
          <w:b/>
          <w:color w:val="0F172A"/>
          <w:sz w:val="20"/>
        </w:rPr>
        <w:t xml:space="preserve">Defensible Moat Statement: </w:t>
      </w:r>
      <w:r>
        <w:rPr>
          <w:rFonts w:ascii="Segoe UI" w:hAnsi="Segoe UI"/>
          <w:color w:val="0F172A"/>
          <w:sz w:val="20"/>
        </w:rPr>
        <w:t>Why Big Tech Cannot Copy GeetorusAI in 6 Months (The Defensible Moat):</w:t>
      </w:r>
    </w:p>
    <w:p>
      <w:pPr>
        <w:pStyle w:val="ListBullet"/>
        <w:spacing w:after="60" w:line="276" w:lineRule="auto"/>
      </w:pPr>
      <w:r>
        <w:rPr>
          <w:rFonts w:ascii="Segoe UI" w:hAnsi="Segoe UI"/>
          <w:b/>
          <w:color w:val="0F172A"/>
          <w:sz w:val="20"/>
        </w:rPr>
        <w:t xml:space="preserve">1. The Deep Systems Architecture Triad: </w:t>
      </w:r>
      <w:r>
        <w:rPr>
          <w:rFonts w:ascii="Segoe UI" w:hAnsi="Segoe UI"/>
          <w:color w:val="0F172A"/>
          <w:sz w:val="20"/>
        </w:rPr>
        <w:t>GeetorusAI is not a prompt script. It is an intricately coupled triumvirate of 137 relational PostgreSQL schemas, a 29k-line hardened heartbeat scheduler, and operating-system-level Git worktrees. Rebuilding this foundation requires over 12 months of complex systems engineering.</w:t>
      </w:r>
    </w:p>
    <w:p>
      <w:pPr>
        <w:pStyle w:val="ListBullet"/>
        <w:spacing w:after="60" w:line="276" w:lineRule="auto"/>
      </w:pPr>
      <w:r>
        <w:rPr>
          <w:rFonts w:ascii="Segoe UI" w:hAnsi="Segoe UI"/>
          <w:b/>
          <w:color w:val="0F172A"/>
          <w:sz w:val="20"/>
        </w:rPr>
        <w:t xml:space="preserve">2. Native Protocol Standardization: </w:t>
      </w:r>
      <w:r>
        <w:rPr>
          <w:rFonts w:ascii="Segoe UI" w:hAnsi="Segoe UI"/>
          <w:color w:val="0F172A"/>
          <w:sz w:val="20"/>
        </w:rPr>
        <w:t>By adhering natively to Anthropic's Model Context Protocol (MCP) and Agent Client Protocol (ACP), GeetorusAI avoids proprietary lock-in. Every new MCP tool built globally is immediately compatible with GeetorusAI without code changes.</w:t>
      </w:r>
    </w:p>
    <w:p>
      <w:pPr>
        <w:pStyle w:val="ListBullet"/>
        <w:spacing w:after="60" w:line="276" w:lineRule="auto"/>
      </w:pPr>
      <w:r>
        <w:rPr>
          <w:rFonts w:ascii="Segoe UI" w:hAnsi="Segoe UI"/>
          <w:b/>
          <w:color w:val="0F172A"/>
          <w:sz w:val="20"/>
        </w:rPr>
        <w:t xml:space="preserve">3. Cybersecurity Trust Anchor: </w:t>
      </w:r>
      <w:r>
        <w:rPr>
          <w:rFonts w:ascii="Segoe UI" w:hAnsi="Segoe UI"/>
          <w:color w:val="0F172A"/>
          <w:sz w:val="20"/>
        </w:rPr>
        <w:t>Conceived by cybersecurity pioneers, GeetorusAI incorporates least-privilege token vaulting, encrypted secrets, and tamper-proof HMAC ledgers into its execution kernel.</w:t>
      </w:r>
    </w:p>
    <w:p>
      <w:pPr>
        <w:pStyle w:val="ListBullet"/>
        <w:spacing w:after="60" w:line="276" w:lineRule="auto"/>
      </w:pPr>
      <w:r>
        <w:rPr>
          <w:rFonts w:ascii="Segoe UI" w:hAnsi="Segoe UI"/>
          <w:b/>
          <w:color w:val="0F172A"/>
          <w:sz w:val="20"/>
        </w:rPr>
        <w:t xml:space="preserve">4. The Multi-Agent Organizational Data Flywheel: </w:t>
      </w:r>
      <w:r>
        <w:rPr>
          <w:rFonts w:ascii="Segoe UI" w:hAnsi="Segoe UI"/>
          <w:color w:val="0F172A"/>
          <w:sz w:val="20"/>
        </w:rPr>
        <w:t>As virtual agent teams execute tasks, GeetorusAI accumulates organizational intelligence—profiling which agent roles, LLM models, and approval gates yield zero-defect software at lowest token cost.</w:t>
      </w:r>
    </w:p>
    <w:p>
      <w:pPr>
        <w:spacing w:before="240" w:after="80"/>
      </w:pPr>
      <w:r>
        <w:rPr>
          <w:rFonts w:ascii="Segoe UI" w:hAnsi="Segoe UI"/>
          <w:b/>
          <w:color w:val="0284C7"/>
          <w:sz w:val="26"/>
        </w:rPr>
        <w:t>Section 6: Business Model, Unit Economics &amp; Traction</w:t>
      </w:r>
    </w:p>
    <w:p>
      <w:pPr>
        <w:spacing w:after="120" w:line="276" w:lineRule="auto"/>
      </w:pPr>
      <w:r>
        <w:rPr>
          <w:rFonts w:ascii="Segoe UI" w:hAnsi="Segoe UI"/>
          <w:color w:val="0F172A"/>
          <w:sz w:val="20"/>
        </w:rPr>
        <w:t>GeetorusAI operates a high-velocity open-core business model combining friction-free developer adoption with high-ACV enterprise compliance monetization: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1E3A8A"/>
            <w:tcMar>
              <w:top w:w="80" w:type="dxa"/>
              <w:bottom w:w="80" w:type="dxa"/>
              <w:left w:w="100" w:type="dxa"/>
              <w:right w:w="100" w:type="dxa"/>
            </w:tcMar>
          </w:tcPr>
          <w:p>
            <w:r>
              <w:rPr>
                <w:rFonts w:ascii="Segoe UI" w:hAnsi="Segoe UI"/>
                <w:b/>
                <w:color w:val="FFFFFF"/>
                <w:sz w:val="18"/>
              </w:rPr>
              <w:t>Edition / Tier</w:t>
            </w:r>
          </w:p>
        </w:tc>
        <w:tc>
          <w:tcPr>
            <w:tcW w:type="dxa" w:w="2340"/>
            <w:shd w:fill="1E3A8A"/>
            <w:tcMar>
              <w:top w:w="80" w:type="dxa"/>
              <w:bottom w:w="80" w:type="dxa"/>
              <w:left w:w="100" w:type="dxa"/>
              <w:right w:w="100" w:type="dxa"/>
            </w:tcMar>
          </w:tcPr>
          <w:p>
            <w:r>
              <w:rPr>
                <w:rFonts w:ascii="Segoe UI" w:hAnsi="Segoe UI"/>
                <w:b/>
                <w:color w:val="FFFFFF"/>
                <w:sz w:val="18"/>
              </w:rPr>
              <w:t>Price</w:t>
            </w:r>
          </w:p>
        </w:tc>
        <w:tc>
          <w:tcPr>
            <w:tcW w:type="dxa" w:w="2340"/>
            <w:shd w:fill="1E3A8A"/>
            <w:tcMar>
              <w:top w:w="80" w:type="dxa"/>
              <w:bottom w:w="80" w:type="dxa"/>
              <w:left w:w="100" w:type="dxa"/>
              <w:right w:w="100" w:type="dxa"/>
            </w:tcMar>
          </w:tcPr>
          <w:p>
            <w:r>
              <w:rPr>
                <w:rFonts w:ascii="Segoe UI" w:hAnsi="Segoe UI"/>
                <w:b/>
                <w:color w:val="FFFFFF"/>
                <w:sz w:val="18"/>
              </w:rPr>
              <w:t>Target Buyer</w:t>
            </w:r>
          </w:p>
        </w:tc>
        <w:tc>
          <w:tcPr>
            <w:tcW w:type="dxa" w:w="2340"/>
            <w:shd w:fill="1E3A8A"/>
            <w:tcMar>
              <w:top w:w="80" w:type="dxa"/>
              <w:bottom w:w="80" w:type="dxa"/>
              <w:left w:w="100" w:type="dxa"/>
              <w:right w:w="100" w:type="dxa"/>
            </w:tcMar>
          </w:tcPr>
          <w:p>
            <w:r>
              <w:rPr>
                <w:rFonts w:ascii="Segoe UI" w:hAnsi="Segoe UI"/>
                <w:b/>
                <w:color w:val="FFFFFF"/>
                <w:sz w:val="18"/>
              </w:rPr>
              <w:t>Included Capabilities</w:t>
            </w:r>
          </w:p>
        </w:tc>
      </w:tr>
      <w:tr>
        <w:tc>
          <w:tcPr>
            <w:tcW w:type="dxa" w:w="2340"/>
            <w:shd w:fill="F8FAFC"/>
            <w:tcMar>
              <w:top w:w="80" w:type="dxa"/>
              <w:bottom w:w="80" w:type="dxa"/>
              <w:left w:w="100" w:type="dxa"/>
              <w:right w:w="100" w:type="dxa"/>
            </w:tcMar>
          </w:tcPr>
          <w:p>
            <w:r>
              <w:rPr>
                <w:rFonts w:ascii="Segoe UI" w:hAnsi="Segoe UI"/>
                <w:sz w:val="17"/>
              </w:rPr>
              <w:t>Community (OSS)</w:t>
            </w:r>
          </w:p>
        </w:tc>
        <w:tc>
          <w:tcPr>
            <w:tcW w:type="dxa" w:w="2340"/>
            <w:shd w:fill="F8FAFC"/>
            <w:tcMar>
              <w:top w:w="80" w:type="dxa"/>
              <w:bottom w:w="80" w:type="dxa"/>
              <w:left w:w="100" w:type="dxa"/>
              <w:right w:w="100" w:type="dxa"/>
            </w:tcMar>
          </w:tcPr>
          <w:p>
            <w:r>
              <w:rPr>
                <w:rFonts w:ascii="Segoe UI" w:hAnsi="Segoe UI"/>
                <w:b/>
                <w:sz w:val="17"/>
              </w:rPr>
              <w:t>$0 Free Forever</w:t>
            </w:r>
          </w:p>
        </w:tc>
        <w:tc>
          <w:tcPr>
            <w:tcW w:type="dxa" w:w="2340"/>
            <w:shd w:fill="F8FAFC"/>
            <w:tcMar>
              <w:top w:w="80" w:type="dxa"/>
              <w:bottom w:w="80" w:type="dxa"/>
              <w:left w:w="100" w:type="dxa"/>
              <w:right w:w="100" w:type="dxa"/>
            </w:tcMar>
          </w:tcPr>
          <w:p>
            <w:r>
              <w:rPr>
                <w:rFonts w:ascii="Segoe UI" w:hAnsi="Segoe UI"/>
                <w:sz w:val="17"/>
              </w:rPr>
              <w:t>Indie Developers</w:t>
            </w:r>
          </w:p>
        </w:tc>
        <w:tc>
          <w:tcPr>
            <w:tcW w:type="dxa" w:w="2340"/>
            <w:shd w:fill="F8FAFC"/>
            <w:tcMar>
              <w:top w:w="80" w:type="dxa"/>
              <w:bottom w:w="80" w:type="dxa"/>
              <w:left w:w="100" w:type="dxa"/>
              <w:right w:w="100" w:type="dxa"/>
            </w:tcMar>
          </w:tcPr>
          <w:p>
            <w:r>
              <w:rPr>
                <w:rFonts w:ascii="Segoe UI" w:hAnsi="Segoe UI"/>
                <w:sz w:val="17"/>
              </w:rPr>
              <w:t>Single-node self-hosted, embedded Postgres, 13 provider adapters, MCP gateway, community support.</w:t>
            </w:r>
          </w:p>
        </w:tc>
      </w:tr>
      <w:tr>
        <w:tc>
          <w:tcPr>
            <w:tcW w:type="dxa" w:w="2340"/>
            <w:shd w:fill="FFFFFF"/>
            <w:tcMar>
              <w:top w:w="80" w:type="dxa"/>
              <w:bottom w:w="80" w:type="dxa"/>
              <w:left w:w="100" w:type="dxa"/>
              <w:right w:w="100" w:type="dxa"/>
            </w:tcMar>
          </w:tcPr>
          <w:p>
            <w:r>
              <w:rPr>
                <w:rFonts w:ascii="Segoe UI" w:hAnsi="Segoe UI"/>
                <w:sz w:val="17"/>
              </w:rPr>
              <w:t>Pro Tier</w:t>
            </w:r>
          </w:p>
        </w:tc>
        <w:tc>
          <w:tcPr>
            <w:tcW w:type="dxa" w:w="2340"/>
            <w:shd w:fill="FFFFFF"/>
            <w:tcMar>
              <w:top w:w="80" w:type="dxa"/>
              <w:bottom w:w="80" w:type="dxa"/>
              <w:left w:w="100" w:type="dxa"/>
              <w:right w:w="100" w:type="dxa"/>
            </w:tcMar>
          </w:tcPr>
          <w:p>
            <w:r>
              <w:rPr>
                <w:rFonts w:ascii="Segoe UI" w:hAnsi="Segoe UI"/>
                <w:b/>
                <w:sz w:val="17"/>
              </w:rPr>
              <w:t>$49 / dev / mo</w:t>
            </w:r>
          </w:p>
        </w:tc>
        <w:tc>
          <w:tcPr>
            <w:tcW w:type="dxa" w:w="2340"/>
            <w:shd w:fill="FFFFFF"/>
            <w:tcMar>
              <w:top w:w="80" w:type="dxa"/>
              <w:bottom w:w="80" w:type="dxa"/>
              <w:left w:w="100" w:type="dxa"/>
              <w:right w:w="100" w:type="dxa"/>
            </w:tcMar>
          </w:tcPr>
          <w:p>
            <w:r>
              <w:rPr>
                <w:rFonts w:ascii="Segoe UI" w:hAnsi="Segoe UI"/>
                <w:sz w:val="17"/>
              </w:rPr>
              <w:t>Senior Developers / Leads</w:t>
            </w:r>
          </w:p>
        </w:tc>
        <w:tc>
          <w:tcPr>
            <w:tcW w:type="dxa" w:w="2340"/>
            <w:shd w:fill="FFFFFF"/>
            <w:tcMar>
              <w:top w:w="80" w:type="dxa"/>
              <w:bottom w:w="80" w:type="dxa"/>
              <w:left w:w="100" w:type="dxa"/>
              <w:right w:w="100" w:type="dxa"/>
            </w:tcMar>
          </w:tcPr>
          <w:p>
            <w:r>
              <w:rPr>
                <w:rFonts w:ascii="Segoe UI" w:hAnsi="Segoe UI"/>
                <w:sz w:val="17"/>
              </w:rPr>
              <w:t>Cloud workspace synchronization, multi-workspace support, automated telemetry, priority issue queues.</w:t>
            </w:r>
          </w:p>
        </w:tc>
      </w:tr>
      <w:tr>
        <w:tc>
          <w:tcPr>
            <w:tcW w:type="dxa" w:w="2340"/>
            <w:shd w:fill="F8FAFC"/>
            <w:tcMar>
              <w:top w:w="80" w:type="dxa"/>
              <w:bottom w:w="80" w:type="dxa"/>
              <w:left w:w="100" w:type="dxa"/>
              <w:right w:w="100" w:type="dxa"/>
            </w:tcMar>
          </w:tcPr>
          <w:p>
            <w:r>
              <w:rPr>
                <w:rFonts w:ascii="Segoe UI" w:hAnsi="Segoe UI"/>
                <w:sz w:val="17"/>
              </w:rPr>
              <w:t>Teams Tier</w:t>
            </w:r>
          </w:p>
        </w:tc>
        <w:tc>
          <w:tcPr>
            <w:tcW w:type="dxa" w:w="2340"/>
            <w:shd w:fill="F8FAFC"/>
            <w:tcMar>
              <w:top w:w="80" w:type="dxa"/>
              <w:bottom w:w="80" w:type="dxa"/>
              <w:left w:w="100" w:type="dxa"/>
              <w:right w:w="100" w:type="dxa"/>
            </w:tcMar>
          </w:tcPr>
          <w:p>
            <w:r>
              <w:rPr>
                <w:rFonts w:ascii="Segoe UI" w:hAnsi="Segoe UI"/>
                <w:b/>
                <w:sz w:val="17"/>
              </w:rPr>
              <w:t>$199 / team / mo</w:t>
            </w:r>
          </w:p>
        </w:tc>
        <w:tc>
          <w:tcPr>
            <w:tcW w:type="dxa" w:w="2340"/>
            <w:shd w:fill="F8FAFC"/>
            <w:tcMar>
              <w:top w:w="80" w:type="dxa"/>
              <w:bottom w:w="80" w:type="dxa"/>
              <w:left w:w="100" w:type="dxa"/>
              <w:right w:w="100" w:type="dxa"/>
            </w:tcMar>
          </w:tcPr>
          <w:p>
            <w:r>
              <w:rPr>
                <w:rFonts w:ascii="Segoe UI" w:hAnsi="Segoe UI"/>
                <w:sz w:val="17"/>
              </w:rPr>
              <w:t>Engineering Directors</w:t>
            </w:r>
          </w:p>
        </w:tc>
        <w:tc>
          <w:tcPr>
            <w:tcW w:type="dxa" w:w="2340"/>
            <w:shd w:fill="F8FAFC"/>
            <w:tcMar>
              <w:top w:w="80" w:type="dxa"/>
              <w:bottom w:w="80" w:type="dxa"/>
              <w:left w:w="100" w:type="dxa"/>
              <w:right w:w="100" w:type="dxa"/>
            </w:tcMar>
          </w:tcPr>
          <w:p>
            <w:r>
              <w:rPr>
                <w:rFonts w:ascii="Segoe UI" w:hAnsi="Segoe UI"/>
                <w:sz w:val="17"/>
              </w:rPr>
              <w:t>Up to 5 seats, departmental org charts, Discord/Slack bridges, team-wide daily budget caps, shared memory.</w:t>
            </w:r>
          </w:p>
        </w:tc>
      </w:tr>
      <w:tr>
        <w:tc>
          <w:tcPr>
            <w:tcW w:type="dxa" w:w="2340"/>
            <w:shd w:fill="FFFFFF"/>
            <w:tcMar>
              <w:top w:w="80" w:type="dxa"/>
              <w:bottom w:w="80" w:type="dxa"/>
              <w:left w:w="100" w:type="dxa"/>
              <w:right w:w="100" w:type="dxa"/>
            </w:tcMar>
          </w:tcPr>
          <w:p>
            <w:r>
              <w:rPr>
                <w:rFonts w:ascii="Segoe UI" w:hAnsi="Segoe UI"/>
                <w:sz w:val="17"/>
              </w:rPr>
              <w:t>Enterprise Tier</w:t>
            </w:r>
          </w:p>
        </w:tc>
        <w:tc>
          <w:tcPr>
            <w:tcW w:type="dxa" w:w="2340"/>
            <w:shd w:fill="FFFFFF"/>
            <w:tcMar>
              <w:top w:w="80" w:type="dxa"/>
              <w:bottom w:w="80" w:type="dxa"/>
              <w:left w:w="100" w:type="dxa"/>
              <w:right w:w="100" w:type="dxa"/>
            </w:tcMar>
          </w:tcPr>
          <w:p>
            <w:r>
              <w:rPr>
                <w:rFonts w:ascii="Segoe UI" w:hAnsi="Segoe UI"/>
                <w:b/>
                <w:sz w:val="17"/>
              </w:rPr>
              <w:t>$1,200 / co / mo+</w:t>
            </w:r>
          </w:p>
        </w:tc>
        <w:tc>
          <w:tcPr>
            <w:tcW w:type="dxa" w:w="2340"/>
            <w:shd w:fill="FFFFFF"/>
            <w:tcMar>
              <w:top w:w="80" w:type="dxa"/>
              <w:bottom w:w="80" w:type="dxa"/>
              <w:left w:w="100" w:type="dxa"/>
              <w:right w:w="100" w:type="dxa"/>
            </w:tcMar>
          </w:tcPr>
          <w:p>
            <w:r>
              <w:rPr>
                <w:rFonts w:ascii="Segoe UI" w:hAnsi="Segoe UI"/>
                <w:sz w:val="17"/>
              </w:rPr>
              <w:t>CISOs / Enterprise Heads</w:t>
            </w:r>
          </w:p>
        </w:tc>
        <w:tc>
          <w:tcPr>
            <w:tcW w:type="dxa" w:w="2340"/>
            <w:shd w:fill="FFFFFF"/>
            <w:tcMar>
              <w:top w:w="80" w:type="dxa"/>
              <w:bottom w:w="80" w:type="dxa"/>
              <w:left w:w="100" w:type="dxa"/>
              <w:right w:w="100" w:type="dxa"/>
            </w:tcMar>
          </w:tcPr>
          <w:p>
            <w:r>
              <w:rPr>
                <w:rFonts w:ascii="Segoe UI" w:hAnsi="Segoe UI"/>
                <w:sz w:val="17"/>
              </w:rPr>
              <w:t>Air-gapped VPC deployment, SAML/SSO, immutable HMAC audit logs, dedicated SLA, custom model fine-tuning.</w:t>
            </w:r>
          </w:p>
        </w:tc>
      </w:tr>
    </w:tbl>
    <w:p>
      <w:pPr>
        <w:pStyle w:val="ListBullet"/>
        <w:spacing w:after="60" w:line="276" w:lineRule="auto"/>
      </w:pPr>
      <w:r>
        <w:rPr>
          <w:rFonts w:ascii="Segoe UI" w:hAnsi="Segoe UI"/>
          <w:b/>
          <w:color w:val="0F172A"/>
          <w:sz w:val="20"/>
        </w:rPr>
        <w:t xml:space="preserve">Unit Economics [PLACEHOLDER: confirm]: </w:t>
      </w:r>
      <w:r>
        <w:rPr>
          <w:rFonts w:ascii="Segoe UI" w:hAnsi="Segoe UI"/>
          <w:color w:val="0F172A"/>
          <w:sz w:val="20"/>
        </w:rPr>
        <w:t>Blended Customer Acquisition Cost (CAC) of ~$320; Blended Lifetime Value (LTV) of ~$4,800; LTV/CAC ratio of 15.0x; CAC Payback Period of 2.8 months. Driven by organic open-source inbound.</w:t>
      </w:r>
    </w:p>
    <w:p>
      <w:pPr>
        <w:pStyle w:val="ListBullet"/>
        <w:spacing w:after="60" w:line="276" w:lineRule="auto"/>
      </w:pPr>
      <w:r>
        <w:rPr>
          <w:rFonts w:ascii="Segoe UI" w:hAnsi="Segoe UI"/>
          <w:b/>
          <w:color w:val="0F172A"/>
          <w:sz w:val="20"/>
        </w:rPr>
        <w:t xml:space="preserve">Early Traction Metrics [PLACEHOLDER: confirm]: </w:t>
      </w:r>
      <w:r>
        <w:rPr>
          <w:rFonts w:ascii="Segoe UI" w:hAnsi="Segoe UI"/>
          <w:color w:val="0F172A"/>
          <w:sz w:val="20"/>
        </w:rPr>
        <w:t>2,400+ GitHub Stars; 14,000+ Docker pulls / CLI installations; 4 Enterprise Design Partners; $14,500 Monthly Recurring Revenue (MRR).</w:t>
      </w:r>
    </w:p>
    <w:p>
      <w:pPr>
        <w:spacing w:before="240" w:after="80"/>
      </w:pPr>
      <w:r>
        <w:rPr>
          <w:rFonts w:ascii="Segoe UI" w:hAnsi="Segoe UI"/>
          <w:b/>
          <w:color w:val="0284C7"/>
          <w:sz w:val="26"/>
        </w:rPr>
        <w:t>Section 7: The Investment Ask, Use of Funds &amp; Milestones</w:t>
      </w:r>
    </w:p>
    <w:p>
      <w:pPr>
        <w:spacing w:after="120" w:line="276" w:lineRule="auto"/>
      </w:pPr>
      <w:r>
        <w:rPr>
          <w:rFonts w:ascii="Segoe UI" w:hAnsi="Segoe UI"/>
          <w:color w:val="0F172A"/>
          <w:sz w:val="20"/>
        </w:rPr>
        <w:t>GeetorusAI is raising $1,500,000 USD in Seed Financing for 15.0% equity at an implied $10,000,000 USD post-money valuation [PLACEHOLDER: confirm]. This capital provides 18 to 24 months of runway to achieve $1.2M in Annual Recurring Revenue (ARR) and establish clear market leadership.</w:t>
      </w:r>
    </w:p>
    <w:p>
      <w:pPr>
        <w:pStyle w:val="ListBullet"/>
        <w:spacing w:after="60" w:line="276" w:lineRule="auto"/>
      </w:pPr>
      <w:r>
        <w:rPr>
          <w:rFonts w:ascii="Segoe UI" w:hAnsi="Segoe UI"/>
          <w:b/>
          <w:color w:val="0F172A"/>
          <w:sz w:val="20"/>
        </w:rPr>
        <w:t xml:space="preserve">55% // Core Engineering &amp; R&amp;D ($825,000 USD): </w:t>
      </w:r>
      <w:r>
        <w:rPr>
          <w:rFonts w:ascii="Segoe UI" w:hAnsi="Segoe UI"/>
          <w:color w:val="0F172A"/>
          <w:sz w:val="20"/>
        </w:rPr>
        <w:t>Expand the core systems engineering team to build the distributed BullMQ task queue, pgvector semantic memory, and the native Tauri desktop companion.</w:t>
      </w:r>
    </w:p>
    <w:p>
      <w:pPr>
        <w:pStyle w:val="ListBullet"/>
        <w:spacing w:after="60" w:line="276" w:lineRule="auto"/>
      </w:pPr>
      <w:r>
        <w:rPr>
          <w:rFonts w:ascii="Segoe UI" w:hAnsi="Segoe UI"/>
          <w:b/>
          <w:color w:val="0F172A"/>
          <w:sz w:val="20"/>
        </w:rPr>
        <w:t xml:space="preserve">30% // Go-To-Market &amp; DevRel ($450,000 USD): </w:t>
      </w:r>
      <w:r>
        <w:rPr>
          <w:rFonts w:ascii="Segoe UI" w:hAnsi="Segoe UI"/>
          <w:color w:val="0F172A"/>
          <w:sz w:val="20"/>
        </w:rPr>
        <w:t>Scale developer advocacy, open-source community engagement, technical content, and the enterprise pilot sales team across the India-US corridor.</w:t>
      </w:r>
    </w:p>
    <w:p>
      <w:pPr>
        <w:pStyle w:val="ListBullet"/>
        <w:spacing w:after="60" w:line="276" w:lineRule="auto"/>
      </w:pPr>
      <w:r>
        <w:rPr>
          <w:rFonts w:ascii="Segoe UI" w:hAnsi="Segoe UI"/>
          <w:b/>
          <w:color w:val="0F172A"/>
          <w:sz w:val="20"/>
        </w:rPr>
        <w:t xml:space="preserve">15% // Security, Compliance &amp; Infrastructure ($225,000 USD): </w:t>
      </w:r>
      <w:r>
        <w:rPr>
          <w:rFonts w:ascii="Segoe UI" w:hAnsi="Segoe UI"/>
          <w:color w:val="0F172A"/>
          <w:sz w:val="20"/>
        </w:rPr>
        <w:t>Achieve formal SOC2 Type II, ISO 27001, and India DPDP compliance certifications; maintain cloud multi-region testing infrastructure.</w:t>
      </w:r>
    </w:p>
    <w:p>
      <w:pPr>
        <w:spacing w:after="120" w:line="276" w:lineRule="auto"/>
      </w:pPr>
      <w:r>
        <w:rPr>
          <w:rFonts w:ascii="Segoe UI" w:hAnsi="Segoe UI"/>
          <w:b/>
          <w:color w:val="0F172A"/>
          <w:sz w:val="20"/>
        </w:rPr>
        <w:t xml:space="preserve">Strategic Liquidity: </w:t>
      </w:r>
      <w:r>
        <w:rPr>
          <w:rFonts w:ascii="Segoe UI" w:hAnsi="Segoe UI"/>
          <w:color w:val="0F172A"/>
          <w:sz w:val="20"/>
        </w:rPr>
        <w:t>Risk Mitigation &amp; Exit Routes: Downside risks are mitigated by our multi-model abstraction (protecting against provider price or API shifts) and bottom-up developer adoption (bypassing slow enterprise sales cycles). Strategic exit routes include acquisition by DevSecOps/Cloud leaders (GitLab, Atlassian, Microsoft, Datadog) or a long-term standalone enterprise SaaS IPO.</w:t>
      </w:r>
    </w:p>
    <w:p>
      <w:r>
        <w:br w:type="page"/>
      </w:r>
    </w:p>
    <w:p>
      <w:pPr>
        <w:spacing w:before="360" w:after="160"/>
      </w:pPr>
      <w:r>
        <w:rPr>
          <w:rFonts w:ascii="Trebuchet MS" w:hAnsi="Trebuchet MS"/>
          <w:b/>
          <w:color w:val="1E3A8A"/>
          <w:sz w:val="36"/>
        </w:rPr>
        <w:t>PART 2: THE TECHNICAL SPECIFICATION (ARCHITECTURAL DEEP-DIVE)</w:t>
      </w:r>
    </w:p>
    <w:p>
      <w:pPr>
        <w:spacing w:after="120" w:line="276" w:lineRule="auto"/>
      </w:pPr>
      <w:r>
        <w:rPr>
          <w:rFonts w:ascii="Segoe UI" w:hAnsi="Segoe UI"/>
          <w:color w:val="0F172A"/>
          <w:sz w:val="20"/>
        </w:rPr>
        <w:t>This section documents the systems architecture, control-plane topology, and core subsystems of GeetorusAI. To protect proprietary trade secrets, approximately 60% to 70% of technical depth is detailed below. Deep internal agent heuristics, neural routing weights, and proprietary AST evaluation models are reserved under NDA in the Investor Data Room.</w:t>
      </w:r>
    </w:p>
    <w:p>
      <w:pPr>
        <w:spacing w:before="240" w:after="80"/>
      </w:pPr>
      <w:r>
        <w:rPr>
          <w:rFonts w:ascii="Segoe UI" w:hAnsi="Segoe UI"/>
          <w:b/>
          <w:color w:val="0284C7"/>
          <w:sz w:val="26"/>
        </w:rPr>
        <w:t>1. System Architecture &amp; Control-Plane Topology</w:t>
      </w:r>
    </w:p>
    <w:p>
      <w:pPr>
        <w:spacing w:after="120" w:line="276" w:lineRule="auto"/>
      </w:pPr>
      <w:r>
        <w:rPr>
          <w:rFonts w:ascii="Segoe UI" w:hAnsi="Segoe UI"/>
          <w:color w:val="0F172A"/>
          <w:sz w:val="20"/>
        </w:rPr>
        <w:t>GeetorusAI is architected as an event-driven, sovereign control-plane operating across three distinct decoupled tiers:</w:t>
      </w:r>
    </w:p>
    <w:p>
      <w:pPr>
        <w:pStyle w:val="ListBullet"/>
        <w:spacing w:after="60" w:line="276" w:lineRule="auto"/>
      </w:pPr>
      <w:r>
        <w:rPr>
          <w:rFonts w:ascii="Segoe UI" w:hAnsi="Segoe UI"/>
          <w:b/>
          <w:color w:val="0F172A"/>
          <w:sz w:val="20"/>
        </w:rPr>
        <w:t xml:space="preserve">Client Presentation Layer: </w:t>
      </w:r>
      <w:r>
        <w:rPr>
          <w:rFonts w:ascii="Segoe UI" w:hAnsi="Segoe UI"/>
          <w:color w:val="0F172A"/>
          <w:sz w:val="20"/>
        </w:rPr>
        <w:t>A responsive single-page application built on React 19, utilizing a 142KB design token system (`ui/src/index.css`) for zero visual drift. Real-time telemetry, Monaco code diffing, and live execution streams are sustained via bi-directional WebSockets (`server/src/realtime/live-events-ws.ts`).</w:t>
      </w:r>
    </w:p>
    <w:p>
      <w:pPr>
        <w:pStyle w:val="ListBullet"/>
        <w:spacing w:after="60" w:line="276" w:lineRule="auto"/>
      </w:pPr>
      <w:r>
        <w:rPr>
          <w:rFonts w:ascii="Segoe UI" w:hAnsi="Segoe UI"/>
          <w:b/>
          <w:color w:val="0F172A"/>
          <w:sz w:val="20"/>
        </w:rPr>
        <w:t xml:space="preserve">Control-Plane Execution Engine: </w:t>
      </w:r>
      <w:r>
        <w:rPr>
          <w:rFonts w:ascii="Segoe UI" w:hAnsi="Segoe UI"/>
          <w:color w:val="0F172A"/>
          <w:sz w:val="20"/>
        </w:rPr>
        <w:t>A hardened Node.js/Express service hosting 78 RESTful API routes and the central autonomous heartbeat scheduler (`server/src/services/heartbeat.ts`). The control plane manages agent lifecycles, authenticates requests, enforces RBAC policies, and coordinates tool execution.</w:t>
      </w:r>
    </w:p>
    <w:p>
      <w:pPr>
        <w:pStyle w:val="ListBullet"/>
        <w:spacing w:after="60" w:line="276" w:lineRule="auto"/>
      </w:pPr>
      <w:r>
        <w:rPr>
          <w:rFonts w:ascii="Segoe UI" w:hAnsi="Segoe UI"/>
          <w:b/>
          <w:color w:val="0F172A"/>
          <w:sz w:val="20"/>
        </w:rPr>
        <w:t xml:space="preserve">Data &amp; Persistence Layer: </w:t>
      </w:r>
      <w:r>
        <w:rPr>
          <w:rFonts w:ascii="Segoe UI" w:hAnsi="Segoe UI"/>
          <w:color w:val="0F172A"/>
          <w:sz w:val="20"/>
        </w:rPr>
        <w:t>137 relational entity schemas modeled in Drizzle ORM (`packages/db/src/schema/*.ts`). In development and single-node deployments, an embedded zero-config PostgreSQL runtime (`packages/db/src/migration-runtime.ts`) boots automatically with zero external dependencies.</w:t>
      </w:r>
    </w:p>
    <w:p>
      <w:pPr>
        <w:spacing w:before="240" w:after="80"/>
      </w:pPr>
      <w:r>
        <w:rPr>
          <w:rFonts w:ascii="Segoe UI" w:hAnsi="Segoe UI"/>
          <w:b/>
          <w:color w:val="0284C7"/>
          <w:sz w:val="26"/>
        </w:rPr>
        <w:t>2. Heartbeat Concurrency &amp; Turn Allocation Engine</w:t>
      </w:r>
    </w:p>
    <w:p>
      <w:pPr>
        <w:spacing w:after="120" w:line="276" w:lineRule="auto"/>
      </w:pPr>
      <w:r>
        <w:rPr>
          <w:rFonts w:ascii="Segoe UI" w:hAnsi="Segoe UI"/>
          <w:color w:val="0F172A"/>
          <w:sz w:val="20"/>
        </w:rPr>
        <w:t>Autonomous agent activity is governed by a 29,391-line heartbeat scheduler (`server/src/services/heartbeat.ts`). The engine operates on continuous, non-blocking 15-second diagnostic wake-cycles:</w:t>
      </w:r>
    </w:p>
    <w:p>
      <w:pPr>
        <w:pStyle w:val="ListBullet"/>
        <w:spacing w:after="60" w:line="276" w:lineRule="auto"/>
      </w:pPr>
      <w:r>
        <w:rPr>
          <w:rFonts w:ascii="Segoe UI" w:hAnsi="Segoe UI"/>
          <w:b/>
          <w:color w:val="0F172A"/>
          <w:sz w:val="20"/>
        </w:rPr>
        <w:t xml:space="preserve">1. Task Checkout &amp; Concurrency Locking: </w:t>
      </w:r>
      <w:r>
        <w:rPr>
          <w:rFonts w:ascii="Segoe UI" w:hAnsi="Segoe UI"/>
          <w:color w:val="0F172A"/>
          <w:sz w:val="20"/>
        </w:rPr>
        <w:t>The scheduler queries active tasks matching priority criteria, validates company-level token budgets, and acquires atomic PostgreSQL row locks (`SELECT ... FOR UPDATE SKIP LOCKED`) to prevent race conditions in multi-worker environments.</w:t>
      </w:r>
    </w:p>
    <w:p>
      <w:pPr>
        <w:pStyle w:val="ListBullet"/>
        <w:spacing w:after="60" w:line="276" w:lineRule="auto"/>
      </w:pPr>
      <w:r>
        <w:rPr>
          <w:rFonts w:ascii="Segoe UI" w:hAnsi="Segoe UI"/>
          <w:b/>
          <w:color w:val="0F172A"/>
          <w:sz w:val="20"/>
        </w:rPr>
        <w:t xml:space="preserve">2. Orphan Lock Settlement: </w:t>
      </w:r>
      <w:r>
        <w:rPr>
          <w:rFonts w:ascii="Segoe UI" w:hAnsi="Segoe UI"/>
          <w:color w:val="0F172A"/>
          <w:sz w:val="20"/>
        </w:rPr>
        <w:t>If a node crashes or an agent hangs mid-turn, the heartbeat watchdog identifies stale execution timestamps exceeding 300 seconds and automatically settles orphaned locks, resetting task status to healthy queues.</w:t>
      </w:r>
    </w:p>
    <w:p>
      <w:pPr>
        <w:pStyle w:val="ListBullet"/>
        <w:spacing w:after="60" w:line="276" w:lineRule="auto"/>
      </w:pPr>
      <w:r>
        <w:rPr>
          <w:rFonts w:ascii="Segoe UI" w:hAnsi="Segoe UI"/>
          <w:b/>
          <w:color w:val="0F172A"/>
          <w:sz w:val="20"/>
        </w:rPr>
        <w:t xml:space="preserve">3. Turn Watchdog Deadlines: </w:t>
      </w:r>
      <w:r>
        <w:rPr>
          <w:rFonts w:ascii="Segoe UI" w:hAnsi="Segoe UI"/>
          <w:color w:val="0F172A"/>
          <w:sz w:val="20"/>
        </w:rPr>
        <w:t>Each agent turn is bounded by strict wall-clock watchdog deadlines (configurable from 60s to 300s). Subprocesses exceeding their deadline are forcefully terminated to eliminate infinite recursion.</w:t>
      </w:r>
    </w:p>
    <w:p>
      <w:pPr>
        <w:spacing w:before="240" w:after="80"/>
      </w:pPr>
      <w:r>
        <w:rPr>
          <w:rFonts w:ascii="Segoe UI" w:hAnsi="Segoe UI"/>
          <w:b/>
          <w:color w:val="0284C7"/>
          <w:sz w:val="26"/>
        </w:rPr>
        <w:t>3. Pluggable AI Adapters &amp; 2026 Production Models</w:t>
      </w:r>
    </w:p>
    <w:p>
      <w:pPr>
        <w:spacing w:after="120" w:line="276" w:lineRule="auto"/>
      </w:pPr>
      <w:r>
        <w:rPr>
          <w:rFonts w:ascii="Segoe UI" w:hAnsi="Segoe UI"/>
          <w:color w:val="0F172A"/>
          <w:sz w:val="20"/>
        </w:rPr>
        <w:t>GeetorusAI completely decouples agent logic from specific foundation models through 13 standardized provider adapters in `packages/adapters/*`:</w:t>
      </w:r>
    </w:p>
    <w:p>
      <w:pPr>
        <w:pStyle w:val="ListBullet"/>
        <w:spacing w:after="60" w:line="276" w:lineRule="auto"/>
      </w:pPr>
      <w:r>
        <w:rPr>
          <w:rFonts w:ascii="Segoe UI" w:hAnsi="Segoe UI"/>
          <w:b/>
          <w:color w:val="0F172A"/>
          <w:sz w:val="20"/>
        </w:rPr>
        <w:t xml:space="preserve">Anthropic Claude 5.5 Family: </w:t>
      </w:r>
      <w:r>
        <w:rPr>
          <w:rFonts w:ascii="Segoe UI" w:hAnsi="Segoe UI"/>
          <w:color w:val="0F172A"/>
          <w:sz w:val="20"/>
        </w:rPr>
        <w:t>Claude Opus 5.5, Claude Sonnet 5.5, Claude Haiku 5.5 (utilizing adaptive thinking effort and 1M context windows via `packages/adapters/claude-local`).</w:t>
      </w:r>
    </w:p>
    <w:p>
      <w:pPr>
        <w:pStyle w:val="ListBullet"/>
        <w:spacing w:after="60" w:line="276" w:lineRule="auto"/>
      </w:pPr>
      <w:r>
        <w:rPr>
          <w:rFonts w:ascii="Segoe UI" w:hAnsi="Segoe UI"/>
          <w:b/>
          <w:color w:val="0F172A"/>
          <w:sz w:val="20"/>
        </w:rPr>
        <w:t xml:space="preserve">OpenAI Frontier Models: </w:t>
      </w:r>
      <w:r>
        <w:rPr>
          <w:rFonts w:ascii="Segoe UI" w:hAnsi="Segoe UI"/>
          <w:color w:val="0F172A"/>
          <w:sz w:val="20"/>
        </w:rPr>
        <w:t>GPT-5, o3 reasoning series, o4-mini, and OpenAI Codex 2026 (via `packages/adapters/codex-local`).</w:t>
      </w:r>
    </w:p>
    <w:p>
      <w:pPr>
        <w:pStyle w:val="ListBullet"/>
        <w:spacing w:after="60" w:line="276" w:lineRule="auto"/>
      </w:pPr>
      <w:r>
        <w:rPr>
          <w:rFonts w:ascii="Segoe UI" w:hAnsi="Segoe UI"/>
          <w:b/>
          <w:color w:val="0F172A"/>
          <w:sz w:val="20"/>
        </w:rPr>
        <w:t xml:space="preserve">Google Gemini 2.5 Family: </w:t>
      </w:r>
      <w:r>
        <w:rPr>
          <w:rFonts w:ascii="Segoe UI" w:hAnsi="Segoe UI"/>
          <w:color w:val="0F172A"/>
          <w:sz w:val="20"/>
        </w:rPr>
        <w:t>Gemini 2.5 Pro, Gemini 2.5 Ultra, Gemini Flash 2.5 (via `packages/adapters/gemini-local`).</w:t>
      </w:r>
    </w:p>
    <w:p>
      <w:pPr>
        <w:pStyle w:val="ListBullet"/>
        <w:spacing w:after="60" w:line="276" w:lineRule="auto"/>
      </w:pPr>
      <w:r>
        <w:rPr>
          <w:rFonts w:ascii="Segoe UI" w:hAnsi="Segoe UI"/>
          <w:b/>
          <w:color w:val="0F172A"/>
          <w:sz w:val="20"/>
        </w:rPr>
        <w:t xml:space="preserve">Open-Weight Local Runtimes: </w:t>
      </w:r>
      <w:r>
        <w:rPr>
          <w:rFonts w:ascii="Segoe UI" w:hAnsi="Segoe UI"/>
          <w:color w:val="0F172A"/>
          <w:sz w:val="20"/>
        </w:rPr>
        <w:t>Llama 3.3/4, DeepSeek-R1, Mistral Large 2 (via `packages/adapters/ollama-local` and `openclaw` for completely air-gapped deployments).</w:t>
      </w:r>
    </w:p>
    <w:p>
      <w:pPr>
        <w:spacing w:before="240" w:after="80"/>
      </w:pPr>
      <w:r>
        <w:rPr>
          <w:rFonts w:ascii="Segoe UI" w:hAnsi="Segoe UI"/>
          <w:b/>
          <w:color w:val="0284C7"/>
          <w:sz w:val="26"/>
        </w:rPr>
        <w:t>4. Model Context Protocol (MCP) Gateway &amp; Amber Gates</w:t>
      </w:r>
    </w:p>
    <w:p>
      <w:pPr>
        <w:spacing w:after="120" w:line="276" w:lineRule="auto"/>
      </w:pPr>
      <w:r>
        <w:rPr>
          <w:rFonts w:ascii="Segoe UI" w:hAnsi="Segoe UI"/>
          <w:color w:val="0F172A"/>
          <w:sz w:val="20"/>
        </w:rPr>
        <w:t>Tool execution within GeetorusAI is standardized on Anthropic's Model Context Protocol (MCP) (`packages/mcp-server/`, `server/src/services/tool-gateway.ts`).</w:t>
      </w:r>
    </w:p>
    <w:p>
      <w:pPr>
        <w:pStyle w:val="ListBullet"/>
        <w:spacing w:after="60" w:line="276" w:lineRule="auto"/>
      </w:pPr>
      <w:r>
        <w:rPr>
          <w:rFonts w:ascii="Segoe UI" w:hAnsi="Segoe UI"/>
          <w:b/>
          <w:color w:val="0F172A"/>
          <w:sz w:val="20"/>
        </w:rPr>
        <w:t xml:space="preserve">Protocol Gateway: </w:t>
      </w:r>
      <w:r>
        <w:rPr>
          <w:rFonts w:ascii="Segoe UI" w:hAnsi="Segoe UI"/>
          <w:color w:val="0F172A"/>
          <w:sz w:val="20"/>
        </w:rPr>
        <w:t>Tools (filesystem read/write, bash execution, git checkout, SQL inspection) are exposed to models via JSON-RPC stdio channels. Tool parameters and output streams are automatically scanned and redacted for sensitive tokens.</w:t>
      </w:r>
    </w:p>
    <w:p>
      <w:pPr>
        <w:pStyle w:val="ListBullet"/>
        <w:spacing w:after="60" w:line="276" w:lineRule="auto"/>
      </w:pPr>
      <w:r>
        <w:rPr>
          <w:rFonts w:ascii="Segoe UI" w:hAnsi="Segoe UI"/>
          <w:b/>
          <w:color w:val="0F172A"/>
          <w:sz w:val="20"/>
        </w:rPr>
        <w:t xml:space="preserve">Amber Gate Approvals: </w:t>
      </w:r>
      <w:r>
        <w:rPr>
          <w:rFonts w:ascii="Segoe UI" w:hAnsi="Segoe UI"/>
          <w:color w:val="0F172A"/>
          <w:sz w:val="20"/>
        </w:rPr>
        <w:t>High-risk tools (destructive file writes, external API posts, package publishing) trip an Amber Gate. The agent turn pauses, and an interactive confirmation modal appears in the web UI and Slack. Execution resumes only after explicit human operator sign-off (`server/src/routes/approvals.ts`).</w:t>
      </w:r>
    </w:p>
    <w:p>
      <w:pPr>
        <w:pStyle w:val="ListBullet"/>
        <w:spacing w:after="60" w:line="276" w:lineRule="auto"/>
      </w:pPr>
      <w:r>
        <w:rPr>
          <w:rFonts w:ascii="Segoe UI" w:hAnsi="Segoe UI"/>
          <w:b/>
          <w:color w:val="0F172A"/>
          <w:sz w:val="20"/>
        </w:rPr>
        <w:t xml:space="preserve">Cryptographic Decision Signing: </w:t>
      </w:r>
      <w:r>
        <w:rPr>
          <w:rFonts w:ascii="Segoe UI" w:hAnsi="Segoe UI"/>
          <w:color w:val="0F172A"/>
          <w:sz w:val="20"/>
        </w:rPr>
        <w:t>Every approved tool execution is hashed alongside operator credentials and signed with HMAC-SHA256 (`server/src/services/decision-signing.ts`). The resulting cryptographic signature is stored in an immutable audit ledger (`packages/db/src/schema/decision_logs.ts`).</w:t>
      </w:r>
    </w:p>
    <w:p>
      <w:pPr>
        <w:spacing w:before="240" w:after="80"/>
      </w:pPr>
      <w:r>
        <w:rPr>
          <w:rFonts w:ascii="Segoe UI" w:hAnsi="Segoe UI"/>
          <w:b/>
          <w:color w:val="0284C7"/>
          <w:sz w:val="26"/>
        </w:rPr>
        <w:t>5. Real-Time Token Accounting &amp; Daily Financial Budgets</w:t>
      </w:r>
    </w:p>
    <w:p>
      <w:pPr>
        <w:spacing w:after="120" w:line="276" w:lineRule="auto"/>
      </w:pPr>
      <w:r>
        <w:rPr>
          <w:rFonts w:ascii="Segoe UI" w:hAnsi="Segoe UI"/>
          <w:color w:val="0F172A"/>
          <w:sz w:val="20"/>
        </w:rPr>
        <w:t>To solve the crisis of runaway API costs, GeetorusAI bakes real-time financial accounting into every model call (`server/src/services/budgets.ts`, `costs.ts`):</w:t>
      </w:r>
    </w:p>
    <w:p>
      <w:pPr>
        <w:pStyle w:val="ListBullet"/>
        <w:spacing w:after="60" w:line="276" w:lineRule="auto"/>
      </w:pPr>
      <w:r>
        <w:rPr>
          <w:rFonts w:ascii="Segoe UI" w:hAnsi="Segoe UI"/>
          <w:b/>
          <w:color w:val="0F172A"/>
          <w:sz w:val="20"/>
        </w:rPr>
        <w:t xml:space="preserve">Multi-Tier Token Metering: </w:t>
      </w:r>
      <w:r>
        <w:rPr>
          <w:rFonts w:ascii="Segoe UI" w:hAnsi="Segoe UI"/>
          <w:color w:val="0F172A"/>
          <w:sz w:val="20"/>
        </w:rPr>
        <w:t>Tokens are classified across prompt, completion, and reasoning/thinking buckets, multiplied by active model price matrices, and recorded in micro-cent precision.</w:t>
      </w:r>
    </w:p>
    <w:p>
      <w:pPr>
        <w:pStyle w:val="ListBullet"/>
        <w:spacing w:after="60" w:line="276" w:lineRule="auto"/>
      </w:pPr>
      <w:r>
        <w:rPr>
          <w:rFonts w:ascii="Segoe UI" w:hAnsi="Segoe UI"/>
          <w:b/>
          <w:color w:val="0F172A"/>
          <w:sz w:val="20"/>
        </w:rPr>
        <w:t xml:space="preserve">Automated Budget Enforcement: </w:t>
      </w:r>
      <w:r>
        <w:rPr>
          <w:rFonts w:ascii="Segoe UI" w:hAnsi="Segoe UI"/>
          <w:color w:val="0F172A"/>
          <w:sz w:val="20"/>
        </w:rPr>
        <w:t>Administrators configure hard daily USD budget caps per company or per project. When daily spend reaches 90%, alerts fire across chat bridges; at 100%, the circuit breaker halts non-critical agent turns immediately.</w:t>
      </w:r>
    </w:p>
    <w:p>
      <w:pPr>
        <w:spacing w:before="240" w:after="80"/>
      </w:pPr>
      <w:r>
        <w:rPr>
          <w:rFonts w:ascii="Segoe UI" w:hAnsi="Segoe UI"/>
          <w:b/>
          <w:color w:val="0284C7"/>
          <w:sz w:val="26"/>
        </w:rPr>
        <w:t>6. Workspace Isolation &amp; Dynamic Git Worktrees</w:t>
      </w:r>
    </w:p>
    <w:p>
      <w:pPr>
        <w:spacing w:after="120" w:line="276" w:lineRule="auto"/>
      </w:pPr>
      <w:r>
        <w:rPr>
          <w:rFonts w:ascii="Segoe UI" w:hAnsi="Segoe UI"/>
          <w:color w:val="0F172A"/>
          <w:sz w:val="20"/>
        </w:rPr>
        <w:t>To prevent dirty repository state and hallucinated code contamination, GeetorusAI implements Git worktree sandboxing (`server/src/services/execution-workspaces.ts`):</w:t>
      </w:r>
    </w:p>
    <w:p>
      <w:pPr>
        <w:pStyle w:val="ListBullet"/>
        <w:spacing w:after="60" w:line="276" w:lineRule="auto"/>
      </w:pPr>
      <w:r>
        <w:rPr>
          <w:rFonts w:ascii="Segoe UI" w:hAnsi="Segoe UI"/>
          <w:b/>
          <w:color w:val="0F172A"/>
          <w:sz w:val="20"/>
        </w:rPr>
        <w:t xml:space="preserve">Branch Sandboxing: </w:t>
      </w:r>
      <w:r>
        <w:rPr>
          <w:rFonts w:ascii="Segoe UI" w:hAnsi="Segoe UI"/>
          <w:color w:val="0F172A"/>
          <w:sz w:val="20"/>
        </w:rPr>
        <w:t>Every task generates an ephemeral Git worktree on an isolated branch (`agent/{task-id}`). Agents read and modify files in complete isolation from other tasks.</w:t>
      </w:r>
    </w:p>
    <w:p>
      <w:pPr>
        <w:pStyle w:val="ListBullet"/>
        <w:spacing w:after="60" w:line="276" w:lineRule="auto"/>
      </w:pPr>
      <w:r>
        <w:rPr>
          <w:rFonts w:ascii="Segoe UI" w:hAnsi="Segoe UI"/>
          <w:b/>
          <w:color w:val="0F172A"/>
          <w:sz w:val="20"/>
        </w:rPr>
        <w:t xml:space="preserve">Lifecycle Teardown: </w:t>
      </w:r>
      <w:r>
        <w:rPr>
          <w:rFonts w:ascii="Segoe UI" w:hAnsi="Segoe UI"/>
          <w:color w:val="0F172A"/>
          <w:sz w:val="20"/>
        </w:rPr>
        <w:t>If a task passes verification and human review, the branch is merged cleanly into main. If rejected, the entire worktree is destroyed, guaranteeing zero stray files or broken builds.</w:t>
      </w:r>
    </w:p>
    <w:p>
      <w:pPr>
        <w:spacing w:before="240" w:after="80"/>
      </w:pPr>
      <w:r>
        <w:rPr>
          <w:rFonts w:ascii="Segoe UI" w:hAnsi="Segoe UI"/>
          <w:b/>
          <w:color w:val="0284C7"/>
          <w:sz w:val="26"/>
        </w:rPr>
        <w:t>7. Reliability, Pulse Diagnostics &amp; Self-Healing</w:t>
      </w:r>
    </w:p>
    <w:p>
      <w:pPr>
        <w:spacing w:after="120" w:line="276" w:lineRule="auto"/>
      </w:pPr>
      <w:r>
        <w:rPr>
          <w:rFonts w:ascii="Segoe UI" w:hAnsi="Segoe UI"/>
          <w:color w:val="0F172A"/>
          <w:sz w:val="20"/>
        </w:rPr>
        <w:t>Operational resilience is maintained by PulseService (`server/src/services/pulse/pulse-service.ts`):</w:t>
      </w:r>
    </w:p>
    <w:p>
      <w:pPr>
        <w:pStyle w:val="ListBullet"/>
        <w:spacing w:after="60" w:line="276" w:lineRule="auto"/>
      </w:pPr>
      <w:r>
        <w:rPr>
          <w:rFonts w:ascii="Segoe UI" w:hAnsi="Segoe UI"/>
          <w:b/>
          <w:color w:val="0F172A"/>
          <w:sz w:val="20"/>
        </w:rPr>
        <w:t xml:space="preserve">Continuous Health Diagnostics: </w:t>
      </w:r>
      <w:r>
        <w:rPr>
          <w:rFonts w:ascii="Segoe UI" w:hAnsi="Segoe UI"/>
          <w:color w:val="0F172A"/>
          <w:sz w:val="20"/>
        </w:rPr>
        <w:t>Every 30 seconds, automated health probes inspect database query latency, adapter API connectivity, and runner sidecar responsiveness.</w:t>
      </w:r>
    </w:p>
    <w:p>
      <w:pPr>
        <w:pStyle w:val="ListBullet"/>
        <w:spacing w:after="60" w:line="276" w:lineRule="auto"/>
      </w:pPr>
      <w:r>
        <w:rPr>
          <w:rFonts w:ascii="Segoe UI" w:hAnsi="Segoe UI"/>
          <w:b/>
          <w:color w:val="0F172A"/>
          <w:sz w:val="20"/>
        </w:rPr>
        <w:t xml:space="preserve">Automated Fallback Routing: </w:t>
      </w:r>
      <w:r>
        <w:rPr>
          <w:rFonts w:ascii="Segoe UI" w:hAnsi="Segoe UI"/>
          <w:color w:val="0F172A"/>
          <w:sz w:val="20"/>
        </w:rPr>
        <w:t>When an upstream provider returns HTTP 429 (rate-limit) or 503 (service unavailable), circuit breakers trip instantly, dynamically routing pending turns to backup models without crashing active tasks.</w:t>
      </w:r>
    </w:p>
    <w:p>
      <w:pPr>
        <w:spacing w:before="240" w:after="80"/>
      </w:pPr>
      <w:r>
        <w:rPr>
          <w:rFonts w:ascii="Segoe UI" w:hAnsi="Segoe UI"/>
          <w:b/>
          <w:color w:val="0284C7"/>
          <w:sz w:val="26"/>
        </w:rPr>
        <w:t>8. Strategic Feature Roadmap: Phase P0, P1, P2 Build List</w:t>
      </w:r>
    </w:p>
    <w:p>
      <w:pPr>
        <w:spacing w:after="120" w:line="276" w:lineRule="auto"/>
      </w:pPr>
      <w:r>
        <w:rPr>
          <w:rFonts w:ascii="Segoe UI" w:hAnsi="Segoe UI"/>
          <w:color w:val="0F172A"/>
          <w:sz w:val="20"/>
        </w:rPr>
        <w:t>To widen our competitive moat over LangGraph, CrewAI, Paperclip AI, and Munder Difflin, our post-seed technical roadmap follows a rigorous 3-phase execution sequence:</w:t>
      </w:r>
    </w:p>
    <w:p>
      <w:pPr>
        <w:pStyle w:val="ListBullet"/>
        <w:spacing w:after="60" w:line="276" w:lineRule="auto"/>
      </w:pPr>
      <w:r>
        <w:rPr>
          <w:rFonts w:ascii="Segoe UI" w:hAnsi="Segoe UI"/>
          <w:b/>
          <w:color w:val="0F172A"/>
          <w:sz w:val="20"/>
        </w:rPr>
        <w:t xml:space="preserve">Phase P0 // Immediate Moat (Months 1–3): </w:t>
      </w:r>
      <w:r>
        <w:rPr>
          <w:rFonts w:ascii="Segoe UI" w:hAnsi="Segoe UI"/>
          <w:color w:val="0F172A"/>
          <w:sz w:val="20"/>
        </w:rPr>
        <w:t>Distributed Task Queue (Redis/BullMQ) for horizontal worker scaling; Vector Semantic Long-Term Memory (pgvector); Enterprise SSO (OIDC/SAML); Automated Multi-Model Cost Router (Haiku 5.5 / o4-mini micro-routing).</w:t>
      </w:r>
    </w:p>
    <w:p>
      <w:pPr>
        <w:pStyle w:val="ListBullet"/>
        <w:spacing w:after="60" w:line="276" w:lineRule="auto"/>
      </w:pPr>
      <w:r>
        <w:rPr>
          <w:rFonts w:ascii="Segoe UI" w:hAnsi="Segoe UI"/>
          <w:b/>
          <w:color w:val="0F172A"/>
          <w:sz w:val="20"/>
        </w:rPr>
        <w:t xml:space="preserve">Phase P1 // Enterprise Expansion (Months 4–7): </w:t>
      </w:r>
      <w:r>
        <w:rPr>
          <w:rFonts w:ascii="Segoe UI" w:hAnsi="Segoe UI"/>
          <w:color w:val="0F172A"/>
          <w:sz w:val="20"/>
        </w:rPr>
        <w:t>Automated Compliance Engine (SOC2 Type II, ISO 27001, India DPDP export); Native Desktop Companion (Tauri/Rust); Automated Test Generation &amp; Mutation Evals; Multi-Tenant Billing Gateway (Stripe/Paddle).</w:t>
      </w:r>
    </w:p>
    <w:p>
      <w:pPr>
        <w:pStyle w:val="ListBullet"/>
        <w:spacing w:after="60" w:line="276" w:lineRule="auto"/>
      </w:pPr>
      <w:r>
        <w:rPr>
          <w:rFonts w:ascii="Segoe UI" w:hAnsi="Segoe UI"/>
          <w:b/>
          <w:color w:val="0F172A"/>
          <w:sz w:val="20"/>
        </w:rPr>
        <w:t xml:space="preserve">Phase P2 // Ecosystem Lock-In (Months 8–12): </w:t>
      </w:r>
      <w:r>
        <w:rPr>
          <w:rFonts w:ascii="Segoe UI" w:hAnsi="Segoe UI"/>
          <w:color w:val="0F172A"/>
          <w:sz w:val="20"/>
        </w:rPr>
        <w:t>Universal Agent &amp; Tool Marketplace; Cryptographic Zero-Knowledge Audit Attestation; Autonomous Agent DPO Self-Optimization; Policy-as-Code Governance Kernel (OPA/Rego).</w:t>
      </w:r>
    </w:p>
    <w:p>
      <w:r>
        <w:br w:type="page"/>
      </w:r>
    </w:p>
    <w:p>
      <w:pPr>
        <w:spacing w:before="360" w:after="160"/>
      </w:pPr>
      <w:r>
        <w:rPr>
          <w:rFonts w:ascii="Trebuchet MS" w:hAnsi="Trebuchet MS"/>
          <w:b/>
          <w:color w:val="1E3A8A"/>
          <w:sz w:val="36"/>
        </w:rPr>
        <w:t>APPENDIX // WORD-FOR-WORD SPOKEN PITCH SCRIPT (2.5 MINUTES)</w:t>
      </w:r>
    </w:p>
    <w:p>
      <w:pPr>
        <w:spacing w:after="120" w:line="276" w:lineRule="auto"/>
      </w:pPr>
      <w:r>
        <w:rPr>
          <w:rFonts w:ascii="Segoe UI" w:hAnsi="Segoe UI"/>
          <w:color w:val="0F172A"/>
          <w:sz w:val="20"/>
        </w:rPr>
        <w:t>“Good morning. Over the past two years, every engineering team adopted AI coding assistants. But here is the dirty secret of enterprise AI: isolated chat sessions don’t build scalable software—teams do. Today, developers run uncoordinated terminal bots that burn thousands of dollars in runaway loops, push hallucinated code to production, and exfiltrate credentials without CISO oversight.</w:t>
        <w:br/>
        <w:br/>
        <w:t>GeetorusAI is the autonomous AI agent control plane and virtual company operating system that solves this. We give engineering leaders an interactive organization chart of specialized AI agents—Tech Leads, Backend Engineers, QA Specialists, and Security Sentinels—working together on complex software issues under strict daily budget caps, isolated Git worktrees, and cryptographic approval gates.</w:t>
        <w:br/>
        <w:br/>
        <w:t>Unlike prompt libraries like LangGraph or CrewAI that require months of engineering just to build a UI and database, GeetorusAI is completely turnkey. It bundles an embedded zero-setup PostgreSQL engine, 13 provider adapters supporting the latest Claude Opus 5.5, GPT-5, and Gemini 2.5 models, and native Anthropic Model Context Protocol integration. Our founder, Udhaya Kumar, is a cybersecurity leader in Tamil Nadu with a 20-engineer research team, which is why security and auditability are baked into our kernel.</w:t>
        <w:br/>
        <w:br/>
        <w:t>We operate an open-core model: free community self-hosting, $49 Pro developer seats, $199 Teams subscriptions, and $1,200/month Enterprise deployments. We are raising $1.5 Million for 15% equity at a $10 Million valuation to fund distributed queue scaling, vector semantic memory, and global enterprise sales. Join us in building the sovereign operating system for the autonomous workforce.”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Borders>
              <w:left w:val="single" w:sz="24" w:space="0" w:color="2563EB"/>
              <w:top w:val="none"/>
              <w:right w:val="none"/>
              <w:bottom w:val="none"/>
            </w:tcBorders>
          </w:tcPr>
          <w:p>
            <w:pPr>
              <w:spacing w:after="80"/>
            </w:pPr>
            <w:r>
              <w:rPr>
                <w:rFonts w:ascii="Consolas" w:hAnsi="Consolas"/>
                <w:b/>
                <w:color w:val="1E3A8A"/>
                <w:sz w:val="19"/>
              </w:rPr>
              <w:t>[PROPRIETARY &amp; CONFIDENTIAL DATA ROOM NOTICE]</w:t>
              <w:br/>
            </w:r>
            <w:r>
              <w:rPr>
                <w:rFonts w:ascii="Segoe UI" w:hAnsi="Segoe UI"/>
                <w:color w:val="0F172A"/>
                <w:sz w:val="20"/>
              </w:rPr>
              <w:t>INVESTOR DATA ROOM ACCESS NOTICE:</w:t>
              <w:br/>
              <w:t>Complete technical architectures, neural routing heuristics, internal benchmark datasets, and SOC2 compliance gap analyses are maintained within our secure virtual data room. Access is granted under mutual Non-Disclosure Agreement (NDA). Please contact Udhaya Kumar (CEO) for data room credentials.</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