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bookmarkStart w:id="2" w:name="_GoBack"/>
          <w:bookmarkEnd w:id="2"/>
          <w:r w:rsidR="00DC23E1" w:rsidRPr="00E94A4C">
            <w:rPr>
              <w:rStyle w:val="af4"/>
            </w:rPr>
            <w:fldChar w:fldCharType="begin"/>
          </w:r>
          <w:r w:rsidR="00DC23E1" w:rsidRPr="00E94A4C">
            <w:rPr>
              <w:rStyle w:val="af4"/>
            </w:rPr>
            <w:instrText xml:space="preserve"> </w:instrText>
          </w:r>
          <w:r w:rsidR="00DC23E1">
            <w:instrText>HYPERLINK \l "_Toc8247169"</w:instrText>
          </w:r>
          <w:r w:rsidR="00DC23E1" w:rsidRPr="00E94A4C">
            <w:rPr>
              <w:rStyle w:val="af4"/>
            </w:rPr>
            <w:instrText xml:space="preserve"> </w:instrText>
          </w:r>
          <w:r w:rsidR="00DC23E1" w:rsidRPr="00E94A4C">
            <w:rPr>
              <w:rStyle w:val="af4"/>
            </w:rPr>
          </w:r>
          <w:r w:rsidR="00DC23E1" w:rsidRPr="00E94A4C">
            <w:rPr>
              <w:rStyle w:val="af4"/>
            </w:rPr>
            <w:fldChar w:fldCharType="separate"/>
          </w:r>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r w:rsidR="00DC23E1" w:rsidRPr="00E94A4C">
            <w:rPr>
              <w:rStyle w:val="af4"/>
            </w:rPr>
            <w:fldChar w:fldCharType="end"/>
          </w:r>
        </w:p>
        <w:p w:rsidR="00DC23E1" w:rsidRDefault="00DC23E1">
          <w:pPr>
            <w:pStyle w:val="13"/>
            <w:rPr>
              <w:rFonts w:asciiTheme="minorHAnsi" w:eastAsiaTheme="minorEastAsia" w:hAnsiTheme="minorHAnsi"/>
              <w:sz w:val="22"/>
              <w:lang w:eastAsia="ru-RU"/>
            </w:rPr>
          </w:pPr>
          <w:hyperlink w:anchor="_Toc8247170" w:history="1">
            <w:r w:rsidRPr="00E94A4C">
              <w:rPr>
                <w:rStyle w:val="af4"/>
                <w:b/>
              </w:rPr>
              <w:t>1.</w:t>
            </w:r>
            <w:r>
              <w:rPr>
                <w:rFonts w:asciiTheme="minorHAnsi" w:eastAsiaTheme="minorEastAsia" w:hAnsiTheme="minorHAnsi"/>
                <w:sz w:val="22"/>
                <w:lang w:eastAsia="ru-RU"/>
              </w:rPr>
              <w:tab/>
            </w:r>
            <w:r w:rsidRPr="00E94A4C">
              <w:rPr>
                <w:rStyle w:val="af4"/>
                <w:b/>
              </w:rPr>
              <w:t>АНАЛИЗ ПРЕДМЕТНОЙ ОБЛАСТИ</w:t>
            </w:r>
            <w:r>
              <w:rPr>
                <w:webHidden/>
              </w:rPr>
              <w:tab/>
            </w:r>
            <w:r>
              <w:rPr>
                <w:webHidden/>
              </w:rPr>
              <w:fldChar w:fldCharType="begin"/>
            </w:r>
            <w:r>
              <w:rPr>
                <w:webHidden/>
              </w:rPr>
              <w:instrText xml:space="preserve"> PAGEREF _Toc8247170 \h </w:instrText>
            </w:r>
            <w:r>
              <w:rPr>
                <w:webHidden/>
              </w:rPr>
            </w:r>
            <w:r>
              <w:rPr>
                <w:webHidden/>
              </w:rPr>
              <w:fldChar w:fldCharType="separate"/>
            </w:r>
            <w:r>
              <w:rPr>
                <w:webHidden/>
              </w:rPr>
              <w:t>7</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71" w:history="1">
            <w:r w:rsidRPr="00E94A4C">
              <w:rPr>
                <w:rStyle w:val="af4"/>
                <w:b/>
              </w:rPr>
              <w:t>1.1</w:t>
            </w:r>
            <w:r>
              <w:rPr>
                <w:rFonts w:asciiTheme="minorHAnsi" w:eastAsiaTheme="minorEastAsia" w:hAnsiTheme="minorHAnsi" w:cstheme="minorBidi"/>
                <w:spacing w:val="0"/>
                <w:sz w:val="22"/>
                <w:lang w:eastAsia="ru-RU"/>
              </w:rPr>
              <w:tab/>
            </w:r>
            <w:r w:rsidRPr="00E94A4C">
              <w:rPr>
                <w:rStyle w:val="af4"/>
                <w:b/>
              </w:rPr>
              <w:t>ОПИСАНИЕ ПРЕДМЕТНОЙ ОБЛАСТИ</w:t>
            </w:r>
            <w:r>
              <w:rPr>
                <w:webHidden/>
              </w:rPr>
              <w:tab/>
            </w:r>
            <w:r>
              <w:rPr>
                <w:webHidden/>
              </w:rPr>
              <w:fldChar w:fldCharType="begin"/>
            </w:r>
            <w:r>
              <w:rPr>
                <w:webHidden/>
              </w:rPr>
              <w:instrText xml:space="preserve"> PAGEREF _Toc8247171 \h </w:instrText>
            </w:r>
            <w:r>
              <w:rPr>
                <w:webHidden/>
              </w:rPr>
            </w:r>
            <w:r>
              <w:rPr>
                <w:webHidden/>
              </w:rPr>
              <w:fldChar w:fldCharType="separate"/>
            </w:r>
            <w:r>
              <w:rPr>
                <w:webHidden/>
              </w:rPr>
              <w:t>7</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72" w:history="1">
            <w:r w:rsidRPr="00E94A4C">
              <w:rPr>
                <w:rStyle w:val="af4"/>
                <w:b/>
              </w:rPr>
              <w:t>1.2</w:t>
            </w:r>
            <w:r>
              <w:rPr>
                <w:rFonts w:asciiTheme="minorHAnsi" w:eastAsiaTheme="minorEastAsia" w:hAnsiTheme="minorHAnsi" w:cstheme="minorBidi"/>
                <w:spacing w:val="0"/>
                <w:sz w:val="22"/>
                <w:lang w:eastAsia="ru-RU"/>
              </w:rPr>
              <w:tab/>
            </w:r>
            <w:r w:rsidRPr="00E94A4C">
              <w:rPr>
                <w:rStyle w:val="af4"/>
                <w:b/>
              </w:rPr>
              <w:t>Обзор аналогов программного продукта</w:t>
            </w:r>
            <w:r>
              <w:rPr>
                <w:webHidden/>
              </w:rPr>
              <w:tab/>
            </w:r>
            <w:r>
              <w:rPr>
                <w:webHidden/>
              </w:rPr>
              <w:fldChar w:fldCharType="begin"/>
            </w:r>
            <w:r>
              <w:rPr>
                <w:webHidden/>
              </w:rPr>
              <w:instrText xml:space="preserve"> PAGEREF _Toc8247172 \h </w:instrText>
            </w:r>
            <w:r>
              <w:rPr>
                <w:webHidden/>
              </w:rPr>
            </w:r>
            <w:r>
              <w:rPr>
                <w:webHidden/>
              </w:rPr>
              <w:fldChar w:fldCharType="separate"/>
            </w:r>
            <w:r>
              <w:rPr>
                <w:webHidden/>
              </w:rPr>
              <w:t>8</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73" w:history="1">
            <w:r w:rsidRPr="00E94A4C">
              <w:rPr>
                <w:rStyle w:val="af4"/>
                <w:b/>
              </w:rPr>
              <w:t>1.3</w:t>
            </w:r>
            <w:r>
              <w:rPr>
                <w:rFonts w:asciiTheme="minorHAnsi" w:eastAsiaTheme="minorEastAsia" w:hAnsiTheme="minorHAnsi" w:cstheme="minorBidi"/>
                <w:spacing w:val="0"/>
                <w:sz w:val="22"/>
                <w:lang w:eastAsia="ru-RU"/>
              </w:rPr>
              <w:tab/>
            </w:r>
            <w:r w:rsidRPr="00E94A4C">
              <w:rPr>
                <w:rStyle w:val="af4"/>
                <w:b/>
              </w:rPr>
              <w:t>Формирование требований к проектируемому ПС</w:t>
            </w:r>
            <w:r>
              <w:rPr>
                <w:webHidden/>
              </w:rPr>
              <w:tab/>
            </w:r>
            <w:r>
              <w:rPr>
                <w:webHidden/>
              </w:rPr>
              <w:fldChar w:fldCharType="begin"/>
            </w:r>
            <w:r>
              <w:rPr>
                <w:webHidden/>
              </w:rPr>
              <w:instrText xml:space="preserve"> PAGEREF _Toc8247173 \h </w:instrText>
            </w:r>
            <w:r>
              <w:rPr>
                <w:webHidden/>
              </w:rPr>
            </w:r>
            <w:r>
              <w:rPr>
                <w:webHidden/>
              </w:rPr>
              <w:fldChar w:fldCharType="separate"/>
            </w:r>
            <w:r>
              <w:rPr>
                <w:webHidden/>
              </w:rPr>
              <w:t>9</w:t>
            </w:r>
            <w:r>
              <w:rPr>
                <w:webHidden/>
              </w:rPr>
              <w:fldChar w:fldCharType="end"/>
            </w:r>
          </w:hyperlink>
        </w:p>
        <w:p w:rsidR="00DC23E1" w:rsidRDefault="00DC23E1">
          <w:pPr>
            <w:pStyle w:val="13"/>
            <w:rPr>
              <w:rFonts w:asciiTheme="minorHAnsi" w:eastAsiaTheme="minorEastAsia" w:hAnsiTheme="minorHAnsi"/>
              <w:sz w:val="22"/>
              <w:lang w:eastAsia="ru-RU"/>
            </w:rPr>
          </w:pPr>
          <w:hyperlink w:anchor="_Toc8247174" w:history="1">
            <w:r w:rsidRPr="00E94A4C">
              <w:rPr>
                <w:rStyle w:val="af4"/>
              </w:rPr>
              <w:t>2.</w:t>
            </w:r>
            <w:r>
              <w:rPr>
                <w:rFonts w:asciiTheme="minorHAnsi" w:eastAsiaTheme="minorEastAsia" w:hAnsiTheme="minorHAnsi"/>
                <w:sz w:val="22"/>
                <w:lang w:eastAsia="ru-RU"/>
              </w:rPr>
              <w:tab/>
            </w:r>
            <w:r w:rsidRPr="00E94A4C">
              <w:rPr>
                <w:rStyle w:val="af4"/>
              </w:rPr>
              <w:t>Постановка задачи</w:t>
            </w:r>
            <w:r>
              <w:rPr>
                <w:webHidden/>
              </w:rPr>
              <w:tab/>
            </w:r>
            <w:r>
              <w:rPr>
                <w:webHidden/>
              </w:rPr>
              <w:fldChar w:fldCharType="begin"/>
            </w:r>
            <w:r>
              <w:rPr>
                <w:webHidden/>
              </w:rPr>
              <w:instrText xml:space="preserve"> PAGEREF _Toc8247174 \h </w:instrText>
            </w:r>
            <w:r>
              <w:rPr>
                <w:webHidden/>
              </w:rPr>
            </w:r>
            <w:r>
              <w:rPr>
                <w:webHidden/>
              </w:rPr>
              <w:fldChar w:fldCharType="separate"/>
            </w:r>
            <w:r>
              <w:rPr>
                <w:webHidden/>
              </w:rPr>
              <w:t>11</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75" w:history="1">
            <w:r w:rsidRPr="00E94A4C">
              <w:rPr>
                <w:rStyle w:val="af4"/>
              </w:rPr>
              <w:t>2.1</w:t>
            </w:r>
            <w:r>
              <w:rPr>
                <w:rFonts w:asciiTheme="minorHAnsi" w:eastAsiaTheme="minorEastAsia" w:hAnsiTheme="minorHAnsi" w:cstheme="minorBidi"/>
                <w:spacing w:val="0"/>
                <w:sz w:val="22"/>
                <w:lang w:eastAsia="ru-RU"/>
              </w:rPr>
              <w:tab/>
            </w:r>
            <w:r w:rsidRPr="00E94A4C">
              <w:rPr>
                <w:rStyle w:val="af4"/>
              </w:rPr>
              <w:t>Требования к программе</w:t>
            </w:r>
            <w:r>
              <w:rPr>
                <w:webHidden/>
              </w:rPr>
              <w:tab/>
            </w:r>
            <w:r>
              <w:rPr>
                <w:webHidden/>
              </w:rPr>
              <w:fldChar w:fldCharType="begin"/>
            </w:r>
            <w:r>
              <w:rPr>
                <w:webHidden/>
              </w:rPr>
              <w:instrText xml:space="preserve"> PAGEREF _Toc8247175 \h </w:instrText>
            </w:r>
            <w:r>
              <w:rPr>
                <w:webHidden/>
              </w:rPr>
            </w:r>
            <w:r>
              <w:rPr>
                <w:webHidden/>
              </w:rPr>
              <w:fldChar w:fldCharType="separate"/>
            </w:r>
            <w:r>
              <w:rPr>
                <w:webHidden/>
              </w:rPr>
              <w:t>11</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76" w:history="1">
            <w:r w:rsidRPr="00E94A4C">
              <w:rPr>
                <w:rStyle w:val="af4"/>
                <w:lang w:val="en-US"/>
              </w:rPr>
              <w:t>2.2</w:t>
            </w:r>
            <w:r>
              <w:rPr>
                <w:rFonts w:asciiTheme="minorHAnsi" w:eastAsiaTheme="minorEastAsia" w:hAnsiTheme="minorHAnsi" w:cstheme="minorBidi"/>
                <w:spacing w:val="0"/>
                <w:sz w:val="22"/>
                <w:lang w:eastAsia="ru-RU"/>
              </w:rPr>
              <w:tab/>
            </w:r>
            <w:r w:rsidRPr="00E94A4C">
              <w:rPr>
                <w:rStyle w:val="af4"/>
              </w:rPr>
              <w:t>Цели и задачи проектирования</w:t>
            </w:r>
            <w:r>
              <w:rPr>
                <w:webHidden/>
              </w:rPr>
              <w:tab/>
            </w:r>
            <w:r>
              <w:rPr>
                <w:webHidden/>
              </w:rPr>
              <w:fldChar w:fldCharType="begin"/>
            </w:r>
            <w:r>
              <w:rPr>
                <w:webHidden/>
              </w:rPr>
              <w:instrText xml:space="preserve"> PAGEREF _Toc8247176 \h </w:instrText>
            </w:r>
            <w:r>
              <w:rPr>
                <w:webHidden/>
              </w:rPr>
            </w:r>
            <w:r>
              <w:rPr>
                <w:webHidden/>
              </w:rPr>
              <w:fldChar w:fldCharType="separate"/>
            </w:r>
            <w:r>
              <w:rPr>
                <w:webHidden/>
              </w:rPr>
              <w:t>11</w:t>
            </w:r>
            <w:r>
              <w:rPr>
                <w:webHidden/>
              </w:rPr>
              <w:fldChar w:fldCharType="end"/>
            </w:r>
          </w:hyperlink>
        </w:p>
        <w:p w:rsidR="00DC23E1" w:rsidRDefault="00DC23E1">
          <w:pPr>
            <w:pStyle w:val="13"/>
            <w:rPr>
              <w:rFonts w:asciiTheme="minorHAnsi" w:eastAsiaTheme="minorEastAsia" w:hAnsiTheme="minorHAnsi"/>
              <w:sz w:val="22"/>
              <w:lang w:eastAsia="ru-RU"/>
            </w:rPr>
          </w:pPr>
          <w:hyperlink w:anchor="_Toc8247177" w:history="1">
            <w:r w:rsidRPr="00E94A4C">
              <w:rPr>
                <w:rStyle w:val="af4"/>
              </w:rPr>
              <w:t>3.</w:t>
            </w:r>
            <w:r>
              <w:rPr>
                <w:rFonts w:asciiTheme="minorHAnsi" w:eastAsiaTheme="minorEastAsia" w:hAnsiTheme="minorHAnsi"/>
                <w:sz w:val="22"/>
                <w:lang w:eastAsia="ru-RU"/>
              </w:rPr>
              <w:tab/>
            </w:r>
            <w:r w:rsidRPr="00E94A4C">
              <w:rPr>
                <w:rStyle w:val="af4"/>
              </w:rPr>
              <w:t>Проектирование ПС</w:t>
            </w:r>
            <w:r>
              <w:rPr>
                <w:webHidden/>
              </w:rPr>
              <w:tab/>
            </w:r>
            <w:r>
              <w:rPr>
                <w:webHidden/>
              </w:rPr>
              <w:fldChar w:fldCharType="begin"/>
            </w:r>
            <w:r>
              <w:rPr>
                <w:webHidden/>
              </w:rPr>
              <w:instrText xml:space="preserve"> PAGEREF _Toc8247177 \h </w:instrText>
            </w:r>
            <w:r>
              <w:rPr>
                <w:webHidden/>
              </w:rPr>
            </w:r>
            <w:r>
              <w:rPr>
                <w:webHidden/>
              </w:rPr>
              <w:fldChar w:fldCharType="separate"/>
            </w:r>
            <w:r>
              <w:rPr>
                <w:webHidden/>
              </w:rPr>
              <w:t>13</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78" w:history="1">
            <w:r w:rsidRPr="00E94A4C">
              <w:rPr>
                <w:rStyle w:val="af4"/>
              </w:rPr>
              <w:t>3.1</w:t>
            </w:r>
            <w:r>
              <w:rPr>
                <w:rFonts w:asciiTheme="minorHAnsi" w:eastAsiaTheme="minorEastAsia" w:hAnsiTheme="minorHAnsi" w:cstheme="minorBidi"/>
                <w:spacing w:val="0"/>
                <w:sz w:val="22"/>
                <w:lang w:eastAsia="ru-RU"/>
              </w:rPr>
              <w:tab/>
            </w:r>
            <w:r w:rsidRPr="00E94A4C">
              <w:rPr>
                <w:rStyle w:val="af4"/>
              </w:rPr>
              <w:t>Используемые технологии и средства разработки</w:t>
            </w:r>
            <w:r>
              <w:rPr>
                <w:webHidden/>
              </w:rPr>
              <w:tab/>
            </w:r>
            <w:r>
              <w:rPr>
                <w:webHidden/>
              </w:rPr>
              <w:fldChar w:fldCharType="begin"/>
            </w:r>
            <w:r>
              <w:rPr>
                <w:webHidden/>
              </w:rPr>
              <w:instrText xml:space="preserve"> PAGEREF _Toc8247178 \h </w:instrText>
            </w:r>
            <w:r>
              <w:rPr>
                <w:webHidden/>
              </w:rPr>
            </w:r>
            <w:r>
              <w:rPr>
                <w:webHidden/>
              </w:rPr>
              <w:fldChar w:fldCharType="separate"/>
            </w:r>
            <w:r>
              <w:rPr>
                <w:webHidden/>
              </w:rPr>
              <w:t>13</w:t>
            </w:r>
            <w:r>
              <w:rPr>
                <w:webHidden/>
              </w:rPr>
              <w:fldChar w:fldCharType="end"/>
            </w:r>
          </w:hyperlink>
        </w:p>
        <w:p w:rsidR="00DC23E1" w:rsidRDefault="00DC23E1">
          <w:pPr>
            <w:pStyle w:val="31"/>
            <w:tabs>
              <w:tab w:val="left" w:pos="1320"/>
              <w:tab w:val="right" w:leader="dot" w:pos="9344"/>
            </w:tabs>
            <w:rPr>
              <w:noProof/>
            </w:rPr>
          </w:pPr>
          <w:hyperlink w:anchor="_Toc8247179" w:history="1">
            <w:r w:rsidRPr="00E94A4C">
              <w:rPr>
                <w:rStyle w:val="af4"/>
                <w:rFonts w:cs="Times New Roman"/>
                <w:b/>
                <w:noProof/>
              </w:rPr>
              <w:t>3.1.1</w:t>
            </w:r>
            <w:r>
              <w:rPr>
                <w:noProof/>
              </w:rPr>
              <w:tab/>
            </w:r>
            <w:r w:rsidRPr="00E94A4C">
              <w:rPr>
                <w:rStyle w:val="af4"/>
                <w:rFonts w:cs="Times New Roman"/>
                <w:b/>
                <w:noProof/>
              </w:rPr>
              <w:t>Программная платформа Java</w:t>
            </w:r>
            <w:r>
              <w:rPr>
                <w:noProof/>
                <w:webHidden/>
              </w:rPr>
              <w:tab/>
            </w:r>
            <w:r>
              <w:rPr>
                <w:noProof/>
                <w:webHidden/>
              </w:rPr>
              <w:fldChar w:fldCharType="begin"/>
            </w:r>
            <w:r>
              <w:rPr>
                <w:noProof/>
                <w:webHidden/>
              </w:rPr>
              <w:instrText xml:space="preserve"> PAGEREF _Toc8247179 \h </w:instrText>
            </w:r>
            <w:r>
              <w:rPr>
                <w:noProof/>
                <w:webHidden/>
              </w:rPr>
            </w:r>
            <w:r>
              <w:rPr>
                <w:noProof/>
                <w:webHidden/>
              </w:rPr>
              <w:fldChar w:fldCharType="separate"/>
            </w:r>
            <w:r>
              <w:rPr>
                <w:noProof/>
                <w:webHidden/>
              </w:rPr>
              <w:t>13</w:t>
            </w:r>
            <w:r>
              <w:rPr>
                <w:noProof/>
                <w:webHidden/>
              </w:rPr>
              <w:fldChar w:fldCharType="end"/>
            </w:r>
          </w:hyperlink>
        </w:p>
        <w:p w:rsidR="00DC23E1" w:rsidRDefault="00DC23E1">
          <w:pPr>
            <w:pStyle w:val="31"/>
            <w:tabs>
              <w:tab w:val="left" w:pos="1320"/>
              <w:tab w:val="right" w:leader="dot" w:pos="9344"/>
            </w:tabs>
            <w:rPr>
              <w:noProof/>
            </w:rPr>
          </w:pPr>
          <w:hyperlink w:anchor="_Toc8247180" w:history="1">
            <w:r w:rsidRPr="00E94A4C">
              <w:rPr>
                <w:rStyle w:val="af4"/>
                <w:rFonts w:cs="Times New Roman"/>
                <w:b/>
                <w:noProof/>
              </w:rPr>
              <w:t>3.1.2</w:t>
            </w:r>
            <w:r>
              <w:rPr>
                <w:noProof/>
              </w:rPr>
              <w:tab/>
            </w:r>
            <w:r w:rsidRPr="00E94A4C">
              <w:rPr>
                <w:rStyle w:val="af4"/>
                <w:rFonts w:cs="Times New Roman"/>
                <w:b/>
                <w:noProof/>
              </w:rPr>
              <w:t>NetBeans</w:t>
            </w:r>
            <w:r>
              <w:rPr>
                <w:noProof/>
                <w:webHidden/>
              </w:rPr>
              <w:tab/>
            </w:r>
            <w:r>
              <w:rPr>
                <w:noProof/>
                <w:webHidden/>
              </w:rPr>
              <w:fldChar w:fldCharType="begin"/>
            </w:r>
            <w:r>
              <w:rPr>
                <w:noProof/>
                <w:webHidden/>
              </w:rPr>
              <w:instrText xml:space="preserve"> PAGEREF _Toc8247180 \h </w:instrText>
            </w:r>
            <w:r>
              <w:rPr>
                <w:noProof/>
                <w:webHidden/>
              </w:rPr>
            </w:r>
            <w:r>
              <w:rPr>
                <w:noProof/>
                <w:webHidden/>
              </w:rPr>
              <w:fldChar w:fldCharType="separate"/>
            </w:r>
            <w:r>
              <w:rPr>
                <w:noProof/>
                <w:webHidden/>
              </w:rPr>
              <w:t>14</w:t>
            </w:r>
            <w:r>
              <w:rPr>
                <w:noProof/>
                <w:webHidden/>
              </w:rPr>
              <w:fldChar w:fldCharType="end"/>
            </w:r>
          </w:hyperlink>
        </w:p>
        <w:p w:rsidR="00DC23E1" w:rsidRDefault="00DC23E1">
          <w:pPr>
            <w:pStyle w:val="31"/>
            <w:tabs>
              <w:tab w:val="left" w:pos="1320"/>
              <w:tab w:val="right" w:leader="dot" w:pos="9344"/>
            </w:tabs>
            <w:rPr>
              <w:noProof/>
            </w:rPr>
          </w:pPr>
          <w:hyperlink w:anchor="_Toc8247181" w:history="1">
            <w:r w:rsidRPr="00E94A4C">
              <w:rPr>
                <w:rStyle w:val="af4"/>
                <w:rFonts w:cs="Times New Roman"/>
                <w:b/>
                <w:noProof/>
              </w:rPr>
              <w:t>3.1.3</w:t>
            </w:r>
            <w:r>
              <w:rPr>
                <w:noProof/>
              </w:rPr>
              <w:tab/>
            </w:r>
            <w:r w:rsidRPr="00E94A4C">
              <w:rPr>
                <w:rStyle w:val="af4"/>
                <w:rFonts w:cs="Times New Roman"/>
                <w:b/>
                <w:noProof/>
              </w:rPr>
              <w:t>JavaFX</w:t>
            </w:r>
            <w:r>
              <w:rPr>
                <w:noProof/>
                <w:webHidden/>
              </w:rPr>
              <w:tab/>
            </w:r>
            <w:r>
              <w:rPr>
                <w:noProof/>
                <w:webHidden/>
              </w:rPr>
              <w:fldChar w:fldCharType="begin"/>
            </w:r>
            <w:r>
              <w:rPr>
                <w:noProof/>
                <w:webHidden/>
              </w:rPr>
              <w:instrText xml:space="preserve"> PAGEREF _Toc8247181 \h </w:instrText>
            </w:r>
            <w:r>
              <w:rPr>
                <w:noProof/>
                <w:webHidden/>
              </w:rPr>
            </w:r>
            <w:r>
              <w:rPr>
                <w:noProof/>
                <w:webHidden/>
              </w:rPr>
              <w:fldChar w:fldCharType="separate"/>
            </w:r>
            <w:r>
              <w:rPr>
                <w:noProof/>
                <w:webHidden/>
              </w:rPr>
              <w:t>15</w:t>
            </w:r>
            <w:r>
              <w:rPr>
                <w:noProof/>
                <w:webHidden/>
              </w:rPr>
              <w:fldChar w:fldCharType="end"/>
            </w:r>
          </w:hyperlink>
        </w:p>
        <w:p w:rsidR="00DC23E1" w:rsidRDefault="00DC23E1">
          <w:pPr>
            <w:pStyle w:val="31"/>
            <w:tabs>
              <w:tab w:val="left" w:pos="1320"/>
              <w:tab w:val="right" w:leader="dot" w:pos="9344"/>
            </w:tabs>
            <w:rPr>
              <w:noProof/>
            </w:rPr>
          </w:pPr>
          <w:hyperlink w:anchor="_Toc8247182" w:history="1">
            <w:r w:rsidRPr="00E94A4C">
              <w:rPr>
                <w:rStyle w:val="af4"/>
                <w:rFonts w:cs="Times New Roman"/>
                <w:b/>
                <w:noProof/>
                <w:lang w:val="en-US"/>
              </w:rPr>
              <w:t>3.1.4</w:t>
            </w:r>
            <w:r>
              <w:rPr>
                <w:noProof/>
              </w:rPr>
              <w:tab/>
            </w:r>
            <w:r w:rsidRPr="00E94A4C">
              <w:rPr>
                <w:rStyle w:val="af4"/>
                <w:rFonts w:cs="Times New Roman"/>
                <w:b/>
                <w:noProof/>
              </w:rPr>
              <w:t>MySQL</w:t>
            </w:r>
            <w:r>
              <w:rPr>
                <w:noProof/>
                <w:webHidden/>
              </w:rPr>
              <w:tab/>
            </w:r>
            <w:r>
              <w:rPr>
                <w:noProof/>
                <w:webHidden/>
              </w:rPr>
              <w:fldChar w:fldCharType="begin"/>
            </w:r>
            <w:r>
              <w:rPr>
                <w:noProof/>
                <w:webHidden/>
              </w:rPr>
              <w:instrText xml:space="preserve"> PAGEREF _Toc8247182 \h </w:instrText>
            </w:r>
            <w:r>
              <w:rPr>
                <w:noProof/>
                <w:webHidden/>
              </w:rPr>
            </w:r>
            <w:r>
              <w:rPr>
                <w:noProof/>
                <w:webHidden/>
              </w:rPr>
              <w:fldChar w:fldCharType="separate"/>
            </w:r>
            <w:r>
              <w:rPr>
                <w:noProof/>
                <w:webHidden/>
              </w:rPr>
              <w:t>16</w:t>
            </w:r>
            <w:r>
              <w:rPr>
                <w:noProof/>
                <w:webHidden/>
              </w:rPr>
              <w:fldChar w:fldCharType="end"/>
            </w:r>
          </w:hyperlink>
        </w:p>
        <w:p w:rsidR="00DC23E1" w:rsidRDefault="00DC23E1">
          <w:pPr>
            <w:pStyle w:val="31"/>
            <w:tabs>
              <w:tab w:val="left" w:pos="1320"/>
              <w:tab w:val="right" w:leader="dot" w:pos="9344"/>
            </w:tabs>
            <w:rPr>
              <w:noProof/>
            </w:rPr>
          </w:pPr>
          <w:hyperlink w:anchor="_Toc8247183" w:history="1">
            <w:r w:rsidRPr="00E94A4C">
              <w:rPr>
                <w:rStyle w:val="af4"/>
                <w:rFonts w:cs="Times New Roman"/>
                <w:b/>
                <w:noProof/>
                <w:lang w:val="en-US"/>
              </w:rPr>
              <w:t>3.1.5</w:t>
            </w:r>
            <w:r>
              <w:rPr>
                <w:noProof/>
              </w:rPr>
              <w:tab/>
            </w:r>
            <w:r w:rsidRPr="00E94A4C">
              <w:rPr>
                <w:rStyle w:val="af4"/>
                <w:rFonts w:cs="Times New Roman"/>
                <w:b/>
                <w:noProof/>
              </w:rPr>
              <w:t>Библиотека Apache POI</w:t>
            </w:r>
            <w:r>
              <w:rPr>
                <w:noProof/>
                <w:webHidden/>
              </w:rPr>
              <w:tab/>
            </w:r>
            <w:r>
              <w:rPr>
                <w:noProof/>
                <w:webHidden/>
              </w:rPr>
              <w:fldChar w:fldCharType="begin"/>
            </w:r>
            <w:r>
              <w:rPr>
                <w:noProof/>
                <w:webHidden/>
              </w:rPr>
              <w:instrText xml:space="preserve"> PAGEREF _Toc8247183 \h </w:instrText>
            </w:r>
            <w:r>
              <w:rPr>
                <w:noProof/>
                <w:webHidden/>
              </w:rPr>
            </w:r>
            <w:r>
              <w:rPr>
                <w:noProof/>
                <w:webHidden/>
              </w:rPr>
              <w:fldChar w:fldCharType="separate"/>
            </w:r>
            <w:r>
              <w:rPr>
                <w:noProof/>
                <w:webHidden/>
              </w:rPr>
              <w:t>16</w:t>
            </w:r>
            <w:r>
              <w:rPr>
                <w:noProof/>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84" w:history="1">
            <w:r w:rsidRPr="00E94A4C">
              <w:rPr>
                <w:rStyle w:val="af4"/>
              </w:rPr>
              <w:t>3.2</w:t>
            </w:r>
            <w:r>
              <w:rPr>
                <w:rFonts w:asciiTheme="minorHAnsi" w:eastAsiaTheme="minorEastAsia" w:hAnsiTheme="minorHAnsi" w:cstheme="minorBidi"/>
                <w:spacing w:val="0"/>
                <w:sz w:val="22"/>
                <w:lang w:eastAsia="ru-RU"/>
              </w:rPr>
              <w:tab/>
            </w:r>
            <w:r w:rsidRPr="00E94A4C">
              <w:rPr>
                <w:rStyle w:val="af4"/>
              </w:rPr>
              <w:t>Архитектура приложения</w:t>
            </w:r>
            <w:r>
              <w:rPr>
                <w:webHidden/>
              </w:rPr>
              <w:tab/>
            </w:r>
            <w:r>
              <w:rPr>
                <w:webHidden/>
              </w:rPr>
              <w:fldChar w:fldCharType="begin"/>
            </w:r>
            <w:r>
              <w:rPr>
                <w:webHidden/>
              </w:rPr>
              <w:instrText xml:space="preserve"> PAGEREF _Toc8247184 \h </w:instrText>
            </w:r>
            <w:r>
              <w:rPr>
                <w:webHidden/>
              </w:rPr>
            </w:r>
            <w:r>
              <w:rPr>
                <w:webHidden/>
              </w:rPr>
              <w:fldChar w:fldCharType="separate"/>
            </w:r>
            <w:r>
              <w:rPr>
                <w:webHidden/>
              </w:rPr>
              <w:t>16</w:t>
            </w:r>
            <w:r>
              <w:rPr>
                <w:webHidden/>
              </w:rPr>
              <w:fldChar w:fldCharType="end"/>
            </w:r>
          </w:hyperlink>
        </w:p>
        <w:p w:rsidR="00DC23E1" w:rsidRDefault="00DC23E1">
          <w:pPr>
            <w:pStyle w:val="13"/>
            <w:rPr>
              <w:rFonts w:asciiTheme="minorHAnsi" w:eastAsiaTheme="minorEastAsia" w:hAnsiTheme="minorHAnsi"/>
              <w:sz w:val="22"/>
              <w:lang w:eastAsia="ru-RU"/>
            </w:rPr>
          </w:pPr>
          <w:hyperlink w:anchor="_Toc8247185" w:history="1">
            <w:r w:rsidRPr="00E94A4C">
              <w:rPr>
                <w:rStyle w:val="af4"/>
              </w:rPr>
              <w:t>4.</w:t>
            </w:r>
            <w:r>
              <w:rPr>
                <w:rFonts w:asciiTheme="minorHAnsi" w:eastAsiaTheme="minorEastAsia" w:hAnsiTheme="minorHAnsi"/>
                <w:sz w:val="22"/>
                <w:lang w:eastAsia="ru-RU"/>
              </w:rPr>
              <w:tab/>
            </w:r>
            <w:r w:rsidRPr="00E94A4C">
              <w:rPr>
                <w:rStyle w:val="af4"/>
              </w:rPr>
              <w:t>Разработка ПС</w:t>
            </w:r>
            <w:r>
              <w:rPr>
                <w:webHidden/>
              </w:rPr>
              <w:tab/>
            </w:r>
            <w:r>
              <w:rPr>
                <w:webHidden/>
              </w:rPr>
              <w:fldChar w:fldCharType="begin"/>
            </w:r>
            <w:r>
              <w:rPr>
                <w:webHidden/>
              </w:rPr>
              <w:instrText xml:space="preserve"> PAGEREF _Toc8247185 \h </w:instrText>
            </w:r>
            <w:r>
              <w:rPr>
                <w:webHidden/>
              </w:rPr>
            </w:r>
            <w:r>
              <w:rPr>
                <w:webHidden/>
              </w:rPr>
              <w:fldChar w:fldCharType="separate"/>
            </w:r>
            <w:r>
              <w:rPr>
                <w:webHidden/>
              </w:rPr>
              <w:t>19</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86" w:history="1">
            <w:r w:rsidRPr="00E94A4C">
              <w:rPr>
                <w:rStyle w:val="af4"/>
              </w:rPr>
              <w:t>4.1</w:t>
            </w:r>
            <w:r>
              <w:rPr>
                <w:rFonts w:asciiTheme="minorHAnsi" w:eastAsiaTheme="minorEastAsia" w:hAnsiTheme="minorHAnsi" w:cstheme="minorBidi"/>
                <w:spacing w:val="0"/>
                <w:sz w:val="22"/>
                <w:lang w:eastAsia="ru-RU"/>
              </w:rPr>
              <w:tab/>
            </w:r>
            <w:r w:rsidRPr="00E94A4C">
              <w:rPr>
                <w:rStyle w:val="af4"/>
              </w:rPr>
              <w:t>Реализация клиентского-приложения</w:t>
            </w:r>
            <w:r>
              <w:rPr>
                <w:webHidden/>
              </w:rPr>
              <w:tab/>
            </w:r>
            <w:r>
              <w:rPr>
                <w:webHidden/>
              </w:rPr>
              <w:fldChar w:fldCharType="begin"/>
            </w:r>
            <w:r>
              <w:rPr>
                <w:webHidden/>
              </w:rPr>
              <w:instrText xml:space="preserve"> PAGEREF _Toc8247186 \h </w:instrText>
            </w:r>
            <w:r>
              <w:rPr>
                <w:webHidden/>
              </w:rPr>
            </w:r>
            <w:r>
              <w:rPr>
                <w:webHidden/>
              </w:rPr>
              <w:fldChar w:fldCharType="separate"/>
            </w:r>
            <w:r>
              <w:rPr>
                <w:webHidden/>
              </w:rPr>
              <w:t>19</w:t>
            </w:r>
            <w:r>
              <w:rPr>
                <w:webHidden/>
              </w:rPr>
              <w:fldChar w:fldCharType="end"/>
            </w:r>
          </w:hyperlink>
        </w:p>
        <w:p w:rsidR="00DC23E1" w:rsidRDefault="00DC23E1">
          <w:pPr>
            <w:pStyle w:val="13"/>
            <w:rPr>
              <w:rFonts w:asciiTheme="minorHAnsi" w:eastAsiaTheme="minorEastAsia" w:hAnsiTheme="minorHAnsi"/>
              <w:sz w:val="22"/>
              <w:lang w:eastAsia="ru-RU"/>
            </w:rPr>
          </w:pPr>
          <w:hyperlink w:anchor="_Toc8247187" w:history="1">
            <w:r w:rsidRPr="00E94A4C">
              <w:rPr>
                <w:rStyle w:val="af4"/>
              </w:rPr>
              <w:t>5.</w:t>
            </w:r>
            <w:r>
              <w:rPr>
                <w:rFonts w:asciiTheme="minorHAnsi" w:eastAsiaTheme="minorEastAsia" w:hAnsiTheme="minorHAnsi"/>
                <w:sz w:val="22"/>
                <w:lang w:eastAsia="ru-RU"/>
              </w:rPr>
              <w:tab/>
            </w:r>
            <w:r w:rsidRPr="00E94A4C">
              <w:rPr>
                <w:rStyle w:val="af4"/>
              </w:rPr>
              <w:t>Описание использования</w:t>
            </w:r>
            <w:r>
              <w:rPr>
                <w:webHidden/>
              </w:rPr>
              <w:tab/>
            </w:r>
            <w:r>
              <w:rPr>
                <w:webHidden/>
              </w:rPr>
              <w:fldChar w:fldCharType="begin"/>
            </w:r>
            <w:r>
              <w:rPr>
                <w:webHidden/>
              </w:rPr>
              <w:instrText xml:space="preserve"> PAGEREF _Toc8247187 \h </w:instrText>
            </w:r>
            <w:r>
              <w:rPr>
                <w:webHidden/>
              </w:rPr>
            </w:r>
            <w:r>
              <w:rPr>
                <w:webHidden/>
              </w:rPr>
              <w:fldChar w:fldCharType="separate"/>
            </w:r>
            <w:r>
              <w:rPr>
                <w:webHidden/>
              </w:rPr>
              <w:t>21</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88" w:history="1">
            <w:r w:rsidRPr="00E94A4C">
              <w:rPr>
                <w:rStyle w:val="af4"/>
              </w:rPr>
              <w:t>5.1</w:t>
            </w:r>
            <w:r>
              <w:rPr>
                <w:rFonts w:asciiTheme="minorHAnsi" w:eastAsiaTheme="minorEastAsia" w:hAnsiTheme="minorHAnsi" w:cstheme="minorBidi"/>
                <w:spacing w:val="0"/>
                <w:sz w:val="22"/>
                <w:lang w:eastAsia="ru-RU"/>
              </w:rPr>
              <w:tab/>
            </w:r>
            <w:r w:rsidRPr="00E94A4C">
              <w:rPr>
                <w:rStyle w:val="af4"/>
              </w:rPr>
              <w:t>Система нормирования материалов в конструкторской документации</w:t>
            </w:r>
            <w:r>
              <w:rPr>
                <w:webHidden/>
              </w:rPr>
              <w:tab/>
            </w:r>
            <w:r>
              <w:rPr>
                <w:webHidden/>
              </w:rPr>
              <w:fldChar w:fldCharType="begin"/>
            </w:r>
            <w:r>
              <w:rPr>
                <w:webHidden/>
              </w:rPr>
              <w:instrText xml:space="preserve"> PAGEREF _Toc8247188 \h </w:instrText>
            </w:r>
            <w:r>
              <w:rPr>
                <w:webHidden/>
              </w:rPr>
            </w:r>
            <w:r>
              <w:rPr>
                <w:webHidden/>
              </w:rPr>
              <w:fldChar w:fldCharType="separate"/>
            </w:r>
            <w:r>
              <w:rPr>
                <w:webHidden/>
              </w:rPr>
              <w:t>21</w:t>
            </w:r>
            <w:r>
              <w:rPr>
                <w:webHidden/>
              </w:rPr>
              <w:fldChar w:fldCharType="end"/>
            </w:r>
          </w:hyperlink>
        </w:p>
        <w:p w:rsidR="00DC23E1" w:rsidRDefault="00DC23E1">
          <w:pPr>
            <w:pStyle w:val="13"/>
            <w:rPr>
              <w:rFonts w:asciiTheme="minorHAnsi" w:eastAsiaTheme="minorEastAsia" w:hAnsiTheme="minorHAnsi"/>
              <w:sz w:val="22"/>
              <w:lang w:eastAsia="ru-RU"/>
            </w:rPr>
          </w:pPr>
          <w:hyperlink w:anchor="_Toc8247189" w:history="1">
            <w:r w:rsidRPr="00E94A4C">
              <w:rPr>
                <w:rStyle w:val="af4"/>
              </w:rPr>
              <w:t>6.</w:t>
            </w:r>
            <w:r>
              <w:rPr>
                <w:rFonts w:asciiTheme="minorHAnsi" w:eastAsiaTheme="minorEastAsia" w:hAnsiTheme="minorHAnsi"/>
                <w:sz w:val="22"/>
                <w:lang w:eastAsia="ru-RU"/>
              </w:rPr>
              <w:tab/>
            </w:r>
            <w:r w:rsidRPr="00E94A4C">
              <w:rPr>
                <w:rStyle w:val="af4"/>
              </w:rPr>
              <w:t>ТЕХНИКО-ЭКОНОМИЧЕСКОЕ ОБОСНОВАНИЕ ПРОЕКТА ПО РАЗРАБОТКЕ ПРОГРАММНОГО СРЕДСТВА</w:t>
            </w:r>
            <w:r>
              <w:rPr>
                <w:webHidden/>
              </w:rPr>
              <w:tab/>
            </w:r>
            <w:r>
              <w:rPr>
                <w:webHidden/>
              </w:rPr>
              <w:fldChar w:fldCharType="begin"/>
            </w:r>
            <w:r>
              <w:rPr>
                <w:webHidden/>
              </w:rPr>
              <w:instrText xml:space="preserve"> PAGEREF _Toc8247189 \h </w:instrText>
            </w:r>
            <w:r>
              <w:rPr>
                <w:webHidden/>
              </w:rPr>
            </w:r>
            <w:r>
              <w:rPr>
                <w:webHidden/>
              </w:rPr>
              <w:fldChar w:fldCharType="separate"/>
            </w:r>
            <w:r>
              <w:rPr>
                <w:webHidden/>
              </w:rPr>
              <w:t>28</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90" w:history="1">
            <w:r w:rsidRPr="00E94A4C">
              <w:rPr>
                <w:rStyle w:val="af4"/>
              </w:rPr>
              <w:t>6.1</w:t>
            </w:r>
            <w:r>
              <w:rPr>
                <w:rFonts w:asciiTheme="minorHAnsi" w:eastAsiaTheme="minorEastAsia" w:hAnsiTheme="minorHAnsi" w:cstheme="minorBidi"/>
                <w:spacing w:val="0"/>
                <w:sz w:val="22"/>
                <w:lang w:eastAsia="ru-RU"/>
              </w:rPr>
              <w:tab/>
            </w:r>
            <w:r w:rsidRPr="00E94A4C">
              <w:rPr>
                <w:rStyle w:val="af4"/>
              </w:rPr>
              <w:t>Общая характеристика программного средства</w:t>
            </w:r>
            <w:r>
              <w:rPr>
                <w:webHidden/>
              </w:rPr>
              <w:tab/>
            </w:r>
            <w:r>
              <w:rPr>
                <w:webHidden/>
              </w:rPr>
              <w:fldChar w:fldCharType="begin"/>
            </w:r>
            <w:r>
              <w:rPr>
                <w:webHidden/>
              </w:rPr>
              <w:instrText xml:space="preserve"> PAGEREF _Toc8247190 \h </w:instrText>
            </w:r>
            <w:r>
              <w:rPr>
                <w:webHidden/>
              </w:rPr>
            </w:r>
            <w:r>
              <w:rPr>
                <w:webHidden/>
              </w:rPr>
              <w:fldChar w:fldCharType="separate"/>
            </w:r>
            <w:r>
              <w:rPr>
                <w:webHidden/>
              </w:rPr>
              <w:t>28</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91" w:history="1">
            <w:r w:rsidRPr="00E94A4C">
              <w:rPr>
                <w:rStyle w:val="af4"/>
                <w:rFonts w:eastAsia="Times New Roman"/>
              </w:rPr>
              <w:t>6.2</w:t>
            </w:r>
            <w:r>
              <w:rPr>
                <w:rFonts w:asciiTheme="minorHAnsi" w:eastAsiaTheme="minorEastAsia" w:hAnsiTheme="minorHAnsi" w:cstheme="minorBidi"/>
                <w:spacing w:val="0"/>
                <w:sz w:val="22"/>
                <w:lang w:eastAsia="ru-RU"/>
              </w:rPr>
              <w:tab/>
            </w:r>
            <w:r w:rsidRPr="00E94A4C">
              <w:rPr>
                <w:rStyle w:val="af4"/>
                <w:rFonts w:eastAsia="Times New Roman"/>
              </w:rPr>
              <w:t>Расчет затрат на разработку ПО</w:t>
            </w:r>
            <w:r>
              <w:rPr>
                <w:webHidden/>
              </w:rPr>
              <w:tab/>
            </w:r>
            <w:r>
              <w:rPr>
                <w:webHidden/>
              </w:rPr>
              <w:fldChar w:fldCharType="begin"/>
            </w:r>
            <w:r>
              <w:rPr>
                <w:webHidden/>
              </w:rPr>
              <w:instrText xml:space="preserve"> PAGEREF _Toc8247191 \h </w:instrText>
            </w:r>
            <w:r>
              <w:rPr>
                <w:webHidden/>
              </w:rPr>
            </w:r>
            <w:r>
              <w:rPr>
                <w:webHidden/>
              </w:rPr>
              <w:fldChar w:fldCharType="separate"/>
            </w:r>
            <w:r>
              <w:rPr>
                <w:webHidden/>
              </w:rPr>
              <w:t>28</w:t>
            </w:r>
            <w:r>
              <w:rPr>
                <w:webHidden/>
              </w:rPr>
              <w:fldChar w:fldCharType="end"/>
            </w:r>
          </w:hyperlink>
        </w:p>
        <w:p w:rsidR="00DC23E1" w:rsidRDefault="00DC23E1">
          <w:pPr>
            <w:pStyle w:val="31"/>
            <w:tabs>
              <w:tab w:val="left" w:pos="1320"/>
              <w:tab w:val="right" w:leader="dot" w:pos="9344"/>
            </w:tabs>
            <w:rPr>
              <w:noProof/>
            </w:rPr>
          </w:pPr>
          <w:hyperlink w:anchor="_Toc8247192" w:history="1">
            <w:r w:rsidRPr="00E94A4C">
              <w:rPr>
                <w:rStyle w:val="af4"/>
                <w:rFonts w:cs="Times New Roman"/>
                <w:b/>
                <w:noProof/>
              </w:rPr>
              <w:t>6.2.1</w:t>
            </w:r>
            <w:r>
              <w:rPr>
                <w:noProof/>
              </w:rPr>
              <w:tab/>
            </w:r>
            <w:r w:rsidRPr="00E94A4C">
              <w:rPr>
                <w:rStyle w:val="af4"/>
                <w:rFonts w:eastAsia="Times New Roman" w:cs="Times New Roman"/>
                <w:b/>
                <w:noProof/>
              </w:rPr>
              <w:t>Расчет затрат на основную заработную плату разработчиков</w:t>
            </w:r>
            <w:r>
              <w:rPr>
                <w:noProof/>
                <w:webHidden/>
              </w:rPr>
              <w:tab/>
            </w:r>
            <w:r>
              <w:rPr>
                <w:noProof/>
                <w:webHidden/>
              </w:rPr>
              <w:fldChar w:fldCharType="begin"/>
            </w:r>
            <w:r>
              <w:rPr>
                <w:noProof/>
                <w:webHidden/>
              </w:rPr>
              <w:instrText xml:space="preserve"> PAGEREF _Toc8247192 \h </w:instrText>
            </w:r>
            <w:r>
              <w:rPr>
                <w:noProof/>
                <w:webHidden/>
              </w:rPr>
            </w:r>
            <w:r>
              <w:rPr>
                <w:noProof/>
                <w:webHidden/>
              </w:rPr>
              <w:fldChar w:fldCharType="separate"/>
            </w:r>
            <w:r>
              <w:rPr>
                <w:noProof/>
                <w:webHidden/>
              </w:rPr>
              <w:t>28</w:t>
            </w:r>
            <w:r>
              <w:rPr>
                <w:noProof/>
                <w:webHidden/>
              </w:rPr>
              <w:fldChar w:fldCharType="end"/>
            </w:r>
          </w:hyperlink>
        </w:p>
        <w:p w:rsidR="00DC23E1" w:rsidRDefault="00DC23E1">
          <w:pPr>
            <w:pStyle w:val="31"/>
            <w:tabs>
              <w:tab w:val="left" w:pos="1320"/>
              <w:tab w:val="right" w:leader="dot" w:pos="9344"/>
            </w:tabs>
            <w:rPr>
              <w:noProof/>
            </w:rPr>
          </w:pPr>
          <w:hyperlink w:anchor="_Toc8247193" w:history="1">
            <w:r w:rsidRPr="00E94A4C">
              <w:rPr>
                <w:rStyle w:val="af4"/>
                <w:rFonts w:cs="Times New Roman"/>
                <w:b/>
                <w:noProof/>
              </w:rPr>
              <w:t>6.2.2</w:t>
            </w:r>
            <w:r>
              <w:rPr>
                <w:noProof/>
              </w:rPr>
              <w:tab/>
            </w:r>
            <w:r w:rsidRPr="00E94A4C">
              <w:rPr>
                <w:rStyle w:val="af4"/>
                <w:b/>
                <w:noProof/>
              </w:rPr>
              <w:t>Расчет  затрат  на  дополнительную  заработную  плату</w:t>
            </w:r>
            <w:r>
              <w:rPr>
                <w:noProof/>
                <w:webHidden/>
              </w:rPr>
              <w:tab/>
            </w:r>
            <w:r>
              <w:rPr>
                <w:noProof/>
                <w:webHidden/>
              </w:rPr>
              <w:fldChar w:fldCharType="begin"/>
            </w:r>
            <w:r>
              <w:rPr>
                <w:noProof/>
                <w:webHidden/>
              </w:rPr>
              <w:instrText xml:space="preserve"> PAGEREF _Toc8247193 \h </w:instrText>
            </w:r>
            <w:r>
              <w:rPr>
                <w:noProof/>
                <w:webHidden/>
              </w:rPr>
            </w:r>
            <w:r>
              <w:rPr>
                <w:noProof/>
                <w:webHidden/>
              </w:rPr>
              <w:fldChar w:fldCharType="separate"/>
            </w:r>
            <w:r>
              <w:rPr>
                <w:noProof/>
                <w:webHidden/>
              </w:rPr>
              <w:t>29</w:t>
            </w:r>
            <w:r>
              <w:rPr>
                <w:noProof/>
                <w:webHidden/>
              </w:rPr>
              <w:fldChar w:fldCharType="end"/>
            </w:r>
          </w:hyperlink>
        </w:p>
        <w:p w:rsidR="00DC23E1" w:rsidRDefault="00DC23E1">
          <w:pPr>
            <w:pStyle w:val="31"/>
            <w:tabs>
              <w:tab w:val="left" w:pos="1320"/>
              <w:tab w:val="right" w:leader="dot" w:pos="9344"/>
            </w:tabs>
            <w:rPr>
              <w:noProof/>
            </w:rPr>
          </w:pPr>
          <w:hyperlink w:anchor="_Toc8247194" w:history="1">
            <w:r w:rsidRPr="00E94A4C">
              <w:rPr>
                <w:rStyle w:val="af4"/>
                <w:rFonts w:cs="Times New Roman"/>
                <w:b/>
                <w:noProof/>
              </w:rPr>
              <w:t>6.2.3</w:t>
            </w:r>
            <w:r>
              <w:rPr>
                <w:noProof/>
              </w:rPr>
              <w:tab/>
            </w:r>
            <w:r w:rsidRPr="00E94A4C">
              <w:rPr>
                <w:rStyle w:val="af4"/>
                <w:b/>
                <w:noProof/>
              </w:rPr>
              <w:t>Расчет затрат на социальные нужды</w:t>
            </w:r>
            <w:r>
              <w:rPr>
                <w:noProof/>
                <w:webHidden/>
              </w:rPr>
              <w:tab/>
            </w:r>
            <w:r>
              <w:rPr>
                <w:noProof/>
                <w:webHidden/>
              </w:rPr>
              <w:fldChar w:fldCharType="begin"/>
            </w:r>
            <w:r>
              <w:rPr>
                <w:noProof/>
                <w:webHidden/>
              </w:rPr>
              <w:instrText xml:space="preserve"> PAGEREF _Toc8247194 \h </w:instrText>
            </w:r>
            <w:r>
              <w:rPr>
                <w:noProof/>
                <w:webHidden/>
              </w:rPr>
            </w:r>
            <w:r>
              <w:rPr>
                <w:noProof/>
                <w:webHidden/>
              </w:rPr>
              <w:fldChar w:fldCharType="separate"/>
            </w:r>
            <w:r>
              <w:rPr>
                <w:noProof/>
                <w:webHidden/>
              </w:rPr>
              <w:t>30</w:t>
            </w:r>
            <w:r>
              <w:rPr>
                <w:noProof/>
                <w:webHidden/>
              </w:rPr>
              <w:fldChar w:fldCharType="end"/>
            </w:r>
          </w:hyperlink>
        </w:p>
        <w:p w:rsidR="00DC23E1" w:rsidRDefault="00DC23E1">
          <w:pPr>
            <w:pStyle w:val="31"/>
            <w:tabs>
              <w:tab w:val="left" w:pos="1320"/>
              <w:tab w:val="right" w:leader="dot" w:pos="9344"/>
            </w:tabs>
            <w:rPr>
              <w:noProof/>
            </w:rPr>
          </w:pPr>
          <w:hyperlink w:anchor="_Toc8247195" w:history="1">
            <w:r w:rsidRPr="00E94A4C">
              <w:rPr>
                <w:rStyle w:val="af4"/>
                <w:rFonts w:cs="Times New Roman"/>
                <w:b/>
                <w:noProof/>
              </w:rPr>
              <w:t>6.2.4</w:t>
            </w:r>
            <w:r>
              <w:rPr>
                <w:noProof/>
              </w:rPr>
              <w:tab/>
            </w:r>
            <w:r w:rsidRPr="00E94A4C">
              <w:rPr>
                <w:rStyle w:val="af4"/>
                <w:b/>
                <w:noProof/>
              </w:rPr>
              <w:t>Расчет прочих затрат</w:t>
            </w:r>
            <w:r>
              <w:rPr>
                <w:noProof/>
                <w:webHidden/>
              </w:rPr>
              <w:tab/>
            </w:r>
            <w:r>
              <w:rPr>
                <w:noProof/>
                <w:webHidden/>
              </w:rPr>
              <w:fldChar w:fldCharType="begin"/>
            </w:r>
            <w:r>
              <w:rPr>
                <w:noProof/>
                <w:webHidden/>
              </w:rPr>
              <w:instrText xml:space="preserve"> PAGEREF _Toc8247195 \h </w:instrText>
            </w:r>
            <w:r>
              <w:rPr>
                <w:noProof/>
                <w:webHidden/>
              </w:rPr>
            </w:r>
            <w:r>
              <w:rPr>
                <w:noProof/>
                <w:webHidden/>
              </w:rPr>
              <w:fldChar w:fldCharType="separate"/>
            </w:r>
            <w:r>
              <w:rPr>
                <w:noProof/>
                <w:webHidden/>
              </w:rPr>
              <w:t>30</w:t>
            </w:r>
            <w:r>
              <w:rPr>
                <w:noProof/>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96" w:history="1">
            <w:r w:rsidRPr="00E94A4C">
              <w:rPr>
                <w:rStyle w:val="af4"/>
                <w:rFonts w:eastAsia="Times New Roman"/>
              </w:rPr>
              <w:t>6.3</w:t>
            </w:r>
            <w:r>
              <w:rPr>
                <w:rFonts w:asciiTheme="minorHAnsi" w:eastAsiaTheme="minorEastAsia" w:hAnsiTheme="minorHAnsi" w:cstheme="minorBidi"/>
                <w:spacing w:val="0"/>
                <w:sz w:val="22"/>
                <w:lang w:eastAsia="ru-RU"/>
              </w:rPr>
              <w:tab/>
            </w:r>
            <w:r w:rsidRPr="00E94A4C">
              <w:rPr>
                <w:rStyle w:val="af4"/>
                <w:rFonts w:eastAsia="Times New Roman"/>
              </w:rPr>
              <w:t>Оценка результата от продажи ПО. Расчет экономического эффекта.</w:t>
            </w:r>
            <w:r>
              <w:rPr>
                <w:webHidden/>
              </w:rPr>
              <w:tab/>
            </w:r>
            <w:r>
              <w:rPr>
                <w:webHidden/>
              </w:rPr>
              <w:fldChar w:fldCharType="begin"/>
            </w:r>
            <w:r>
              <w:rPr>
                <w:webHidden/>
              </w:rPr>
              <w:instrText xml:space="preserve"> PAGEREF _Toc8247196 \h </w:instrText>
            </w:r>
            <w:r>
              <w:rPr>
                <w:webHidden/>
              </w:rPr>
            </w:r>
            <w:r>
              <w:rPr>
                <w:webHidden/>
              </w:rPr>
              <w:fldChar w:fldCharType="separate"/>
            </w:r>
            <w:r>
              <w:rPr>
                <w:webHidden/>
              </w:rPr>
              <w:t>31</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97" w:history="1">
            <w:r w:rsidRPr="00E94A4C">
              <w:rPr>
                <w:rStyle w:val="af4"/>
              </w:rPr>
              <w:t>6.4</w:t>
            </w:r>
            <w:r>
              <w:rPr>
                <w:rFonts w:asciiTheme="minorHAnsi" w:eastAsiaTheme="minorEastAsia" w:hAnsiTheme="minorHAnsi" w:cstheme="minorBidi"/>
                <w:spacing w:val="0"/>
                <w:sz w:val="22"/>
                <w:lang w:eastAsia="ru-RU"/>
              </w:rPr>
              <w:tab/>
            </w:r>
            <w:r w:rsidRPr="00E94A4C">
              <w:rPr>
                <w:rStyle w:val="af4"/>
                <w:rFonts w:eastAsia="Times New Roman"/>
              </w:rPr>
              <w:t>Расчет показателей эффективности инвестиций в разработку ПО</w:t>
            </w:r>
            <w:r>
              <w:rPr>
                <w:webHidden/>
              </w:rPr>
              <w:tab/>
            </w:r>
            <w:r>
              <w:rPr>
                <w:webHidden/>
              </w:rPr>
              <w:fldChar w:fldCharType="begin"/>
            </w:r>
            <w:r>
              <w:rPr>
                <w:webHidden/>
              </w:rPr>
              <w:instrText xml:space="preserve"> PAGEREF _Toc8247197 \h </w:instrText>
            </w:r>
            <w:r>
              <w:rPr>
                <w:webHidden/>
              </w:rPr>
            </w:r>
            <w:r>
              <w:rPr>
                <w:webHidden/>
              </w:rPr>
              <w:fldChar w:fldCharType="separate"/>
            </w:r>
            <w:r>
              <w:rPr>
                <w:webHidden/>
              </w:rPr>
              <w:t>32</w:t>
            </w:r>
            <w:r>
              <w:rPr>
                <w:webHidden/>
              </w:rPr>
              <w:fldChar w:fldCharType="end"/>
            </w:r>
          </w:hyperlink>
        </w:p>
        <w:p w:rsidR="00DC23E1" w:rsidRDefault="00DC23E1">
          <w:pPr>
            <w:pStyle w:val="21"/>
            <w:rPr>
              <w:rFonts w:asciiTheme="minorHAnsi" w:eastAsiaTheme="minorEastAsia" w:hAnsiTheme="minorHAnsi" w:cstheme="minorBidi"/>
              <w:spacing w:val="0"/>
              <w:sz w:val="22"/>
              <w:lang w:eastAsia="ru-RU"/>
            </w:rPr>
          </w:pPr>
          <w:hyperlink w:anchor="_Toc8247198" w:history="1">
            <w:r w:rsidRPr="00E94A4C">
              <w:rPr>
                <w:rStyle w:val="af4"/>
              </w:rPr>
              <w:t>6.5</w:t>
            </w:r>
            <w:r>
              <w:rPr>
                <w:rFonts w:asciiTheme="minorHAnsi" w:eastAsiaTheme="minorEastAsia" w:hAnsiTheme="minorHAnsi" w:cstheme="minorBidi"/>
                <w:spacing w:val="0"/>
                <w:sz w:val="22"/>
                <w:lang w:eastAsia="ru-RU"/>
              </w:rPr>
              <w:tab/>
            </w:r>
            <w:r w:rsidRPr="00E94A4C">
              <w:rPr>
                <w:rStyle w:val="af4"/>
                <w:rFonts w:eastAsia="Times New Roman"/>
              </w:rPr>
              <w:t>Выводы по технико-экономическому обоснованию</w:t>
            </w:r>
            <w:r>
              <w:rPr>
                <w:webHidden/>
              </w:rPr>
              <w:tab/>
            </w:r>
            <w:r>
              <w:rPr>
                <w:webHidden/>
              </w:rPr>
              <w:fldChar w:fldCharType="begin"/>
            </w:r>
            <w:r>
              <w:rPr>
                <w:webHidden/>
              </w:rPr>
              <w:instrText xml:space="preserve"> PAGEREF _Toc8247198 \h </w:instrText>
            </w:r>
            <w:r>
              <w:rPr>
                <w:webHidden/>
              </w:rPr>
            </w:r>
            <w:r>
              <w:rPr>
                <w:webHidden/>
              </w:rPr>
              <w:fldChar w:fldCharType="separate"/>
            </w:r>
            <w:r>
              <w:rPr>
                <w:webHidden/>
              </w:rPr>
              <w:t>35</w:t>
            </w:r>
            <w:r>
              <w:rPr>
                <w:webHidden/>
              </w:rPr>
              <w:fldChar w:fldCharType="end"/>
            </w:r>
          </w:hyperlink>
        </w:p>
        <w:p w:rsidR="00DC23E1" w:rsidRDefault="00DC23E1">
          <w:pPr>
            <w:pStyle w:val="13"/>
            <w:rPr>
              <w:rFonts w:asciiTheme="minorHAnsi" w:eastAsiaTheme="minorEastAsia" w:hAnsiTheme="minorHAnsi"/>
              <w:sz w:val="22"/>
              <w:lang w:eastAsia="ru-RU"/>
            </w:rPr>
          </w:pPr>
          <w:hyperlink w:anchor="_Toc8247199" w:history="1">
            <w:r w:rsidRPr="00E94A4C">
              <w:rPr>
                <w:rStyle w:val="af4"/>
              </w:rPr>
              <w:t>ЗАКЛЮЧЕНИЕ</w:t>
            </w:r>
            <w:r>
              <w:rPr>
                <w:webHidden/>
              </w:rPr>
              <w:tab/>
            </w:r>
            <w:r>
              <w:rPr>
                <w:webHidden/>
              </w:rPr>
              <w:fldChar w:fldCharType="begin"/>
            </w:r>
            <w:r>
              <w:rPr>
                <w:webHidden/>
              </w:rPr>
              <w:instrText xml:space="preserve"> PAGEREF _Toc8247199 \h </w:instrText>
            </w:r>
            <w:r>
              <w:rPr>
                <w:webHidden/>
              </w:rPr>
            </w:r>
            <w:r>
              <w:rPr>
                <w:webHidden/>
              </w:rPr>
              <w:fldChar w:fldCharType="separate"/>
            </w:r>
            <w:r>
              <w:rPr>
                <w:webHidden/>
              </w:rPr>
              <w:t>36</w:t>
            </w:r>
            <w:r>
              <w:rPr>
                <w:webHidden/>
              </w:rPr>
              <w:fldChar w:fldCharType="end"/>
            </w:r>
          </w:hyperlink>
        </w:p>
        <w:p w:rsidR="00DC23E1" w:rsidRDefault="00DC23E1">
          <w:pPr>
            <w:pStyle w:val="13"/>
            <w:rPr>
              <w:rFonts w:asciiTheme="minorHAnsi" w:eastAsiaTheme="minorEastAsia" w:hAnsiTheme="minorHAnsi"/>
              <w:sz w:val="22"/>
              <w:lang w:eastAsia="ru-RU"/>
            </w:rPr>
          </w:pPr>
          <w:hyperlink w:anchor="_Toc8247200" w:history="1">
            <w:r w:rsidRPr="00E94A4C">
              <w:rPr>
                <w:rStyle w:val="af4"/>
              </w:rPr>
              <w:t>СПИСОК ИСПОЛЬЗОВАННЫХ ИСТОЧНИКОВ</w:t>
            </w:r>
            <w:r>
              <w:rPr>
                <w:webHidden/>
              </w:rPr>
              <w:tab/>
            </w:r>
            <w:r>
              <w:rPr>
                <w:webHidden/>
              </w:rPr>
              <w:fldChar w:fldCharType="begin"/>
            </w:r>
            <w:r>
              <w:rPr>
                <w:webHidden/>
              </w:rPr>
              <w:instrText xml:space="preserve"> PAGEREF _Toc8247200 \h </w:instrText>
            </w:r>
            <w:r>
              <w:rPr>
                <w:webHidden/>
              </w:rPr>
            </w:r>
            <w:r>
              <w:rPr>
                <w:webHidden/>
              </w:rPr>
              <w:fldChar w:fldCharType="separate"/>
            </w:r>
            <w:r>
              <w:rPr>
                <w:webHidden/>
              </w:rPr>
              <w:t>37</w:t>
            </w:r>
            <w:r>
              <w:rPr>
                <w:webHidden/>
              </w:rPr>
              <w:fldChar w:fldCharType="end"/>
            </w:r>
          </w:hyperlink>
        </w:p>
        <w:p w:rsidR="00DC23E1" w:rsidRDefault="00DC23E1">
          <w:pPr>
            <w:pStyle w:val="13"/>
            <w:rPr>
              <w:rFonts w:asciiTheme="minorHAnsi" w:eastAsiaTheme="minorEastAsia" w:hAnsiTheme="minorHAnsi"/>
              <w:sz w:val="22"/>
              <w:lang w:eastAsia="ru-RU"/>
            </w:rPr>
          </w:pPr>
          <w:hyperlink w:anchor="_Toc8247201" w:history="1">
            <w:r w:rsidRPr="00E94A4C">
              <w:rPr>
                <w:rStyle w:val="af4"/>
              </w:rPr>
              <w:t>ПРИЛОЖЕНИЕ А. ЛИСТИНГ ПРОГРАММНОГО КОДА</w:t>
            </w:r>
            <w:r>
              <w:rPr>
                <w:webHidden/>
              </w:rPr>
              <w:tab/>
            </w:r>
            <w:r>
              <w:rPr>
                <w:webHidden/>
              </w:rPr>
              <w:fldChar w:fldCharType="begin"/>
            </w:r>
            <w:r>
              <w:rPr>
                <w:webHidden/>
              </w:rPr>
              <w:instrText xml:space="preserve"> PAGEREF _Toc8247201 \h </w:instrText>
            </w:r>
            <w:r>
              <w:rPr>
                <w:webHidden/>
              </w:rPr>
            </w:r>
            <w:r>
              <w:rPr>
                <w:webHidden/>
              </w:rPr>
              <w:fldChar w:fldCharType="separate"/>
            </w:r>
            <w:r>
              <w:rPr>
                <w:webHidden/>
              </w:rPr>
              <w:t>38</w:t>
            </w:r>
            <w:r>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3" w:name="_Toc8247169"/>
      <w:r>
        <w:lastRenderedPageBreak/>
        <w:t>ВВЕДЕНИЕ</w:t>
      </w:r>
      <w:bookmarkEnd w:id="3"/>
    </w:p>
    <w:p w:rsidR="008E5924" w:rsidRDefault="008E5924" w:rsidP="008E5924">
      <w:pPr>
        <w:ind w:firstLine="709"/>
      </w:pPr>
      <w:bookmarkStart w:id="4" w:name="_Toc7430187"/>
      <w:bookmarkStart w:id="5" w:name="_Toc509754866"/>
      <w:bookmarkStart w:id="6" w:name="_Toc514323716"/>
      <w:bookmarkStart w:id="7"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8" w:name="_Toc8247170"/>
      <w:r w:rsidRPr="00DA677C">
        <w:rPr>
          <w:b/>
          <w:color w:val="000000" w:themeColor="text1"/>
          <w:szCs w:val="28"/>
        </w:rPr>
        <w:lastRenderedPageBreak/>
        <w:t>АНАЛИЗ ПРЕДМЕТНОЙ ОБЛАСТИ</w:t>
      </w:r>
      <w:bookmarkEnd w:id="4"/>
      <w:bookmarkEnd w:id="8"/>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bookmarkStart w:id="9" w:name="_Toc8247171"/>
      <w:r w:rsidRPr="004D09BE">
        <w:rPr>
          <w:b/>
          <w:color w:val="000000" w:themeColor="text1"/>
          <w:szCs w:val="28"/>
        </w:rPr>
        <w:t>ОПИСАНИЕ ПРЕДМЕТНОЙ ОБЛАСТИ</w:t>
      </w:r>
      <w:bookmarkEnd w:id="9"/>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10" w:name="_Toc7430188"/>
      <w:bookmarkStart w:id="11" w:name="_Toc8247172"/>
      <w:r w:rsidRPr="00DA677C">
        <w:rPr>
          <w:b/>
          <w:color w:val="000000" w:themeColor="text1"/>
          <w:szCs w:val="28"/>
        </w:rPr>
        <w:t>Обзор аналогов программного продукта</w:t>
      </w:r>
      <w:bookmarkEnd w:id="10"/>
      <w:bookmarkEnd w:id="11"/>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2" w:name="OLE_LINK3"/>
      <w:bookmarkStart w:id="13" w:name="OLE_LINK4"/>
      <w:r w:rsidRPr="00617431">
        <w:rPr>
          <w:color w:val="000000" w:themeColor="text1"/>
          <w:szCs w:val="28"/>
        </w:rPr>
        <w:t>Intermech АРМ материального нормирования</w:t>
      </w:r>
      <w:bookmarkEnd w:id="12"/>
      <w:bookmarkEnd w:id="13"/>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4" w:name="_Toc7430189"/>
      <w:bookmarkStart w:id="15" w:name="_Toc8247173"/>
      <w:r w:rsidRPr="00DA677C">
        <w:rPr>
          <w:b/>
          <w:color w:val="000000" w:themeColor="text1"/>
          <w:szCs w:val="28"/>
        </w:rPr>
        <w:t>Формирование требований к проектируемому П</w:t>
      </w:r>
      <w:r>
        <w:rPr>
          <w:b/>
          <w:color w:val="000000" w:themeColor="text1"/>
          <w:szCs w:val="28"/>
        </w:rPr>
        <w:t>С</w:t>
      </w:r>
      <w:bookmarkEnd w:id="14"/>
      <w:bookmarkEnd w:id="15"/>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6" w:name="OLE_LINK7"/>
      <w:bookmarkStart w:id="17" w:name="OLE_LINK8"/>
      <w:r>
        <w:rPr>
          <w:color w:val="000000" w:themeColor="text1"/>
          <w:szCs w:val="28"/>
        </w:rPr>
        <w:t xml:space="preserve">Возможность </w:t>
      </w:r>
      <w:bookmarkStart w:id="18" w:name="OLE_LINK5"/>
      <w:bookmarkStart w:id="19" w:name="OLE_LINK6"/>
      <w:r>
        <w:rPr>
          <w:color w:val="000000" w:themeColor="text1"/>
          <w:szCs w:val="28"/>
        </w:rPr>
        <w:t xml:space="preserve">редактирования </w:t>
      </w:r>
      <w:bookmarkEnd w:id="16"/>
      <w:bookmarkEnd w:id="17"/>
      <w:bookmarkEnd w:id="18"/>
      <w:bookmarkEnd w:id="19"/>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20" w:name="OLE_LINK9"/>
      <w:bookmarkStart w:id="21" w:name="OLE_LINK10"/>
      <w:r>
        <w:rPr>
          <w:color w:val="000000" w:themeColor="text1"/>
          <w:szCs w:val="28"/>
        </w:rPr>
        <w:t>с</w:t>
      </w:r>
      <w:r w:rsidRPr="00FE3C1C">
        <w:rPr>
          <w:color w:val="000000" w:themeColor="text1"/>
          <w:szCs w:val="28"/>
        </w:rPr>
        <w:t xml:space="preserve">правочник </w:t>
      </w:r>
      <w:bookmarkEnd w:id="20"/>
      <w:bookmarkEnd w:id="21"/>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2" w:name="OLE_LINK11"/>
      <w:bookmarkStart w:id="23" w:name="OLE_LINK12"/>
      <w:r>
        <w:rPr>
          <w:color w:val="000000" w:themeColor="text1"/>
          <w:szCs w:val="28"/>
        </w:rPr>
        <w:t xml:space="preserve">Возможность редактирования </w:t>
      </w:r>
      <w:bookmarkEnd w:id="22"/>
      <w:bookmarkEnd w:id="23"/>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4" w:name="OLE_LINK13"/>
      <w:bookmarkStart w:id="25" w:name="OLE_LINK14"/>
      <w:bookmarkStart w:id="26" w:name="OLE_LINK15"/>
      <w:r>
        <w:rPr>
          <w:color w:val="000000" w:themeColor="text1"/>
          <w:szCs w:val="28"/>
        </w:rPr>
        <w:t xml:space="preserve">Возможность </w:t>
      </w:r>
      <w:bookmarkEnd w:id="24"/>
      <w:bookmarkEnd w:id="25"/>
      <w:bookmarkEnd w:id="26"/>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lastRenderedPageBreak/>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7"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8" w:name="_Постановка_задачи"/>
      <w:bookmarkStart w:id="29" w:name="_Toc8247174"/>
      <w:bookmarkEnd w:id="28"/>
      <w:r w:rsidRPr="00446FDF">
        <w:lastRenderedPageBreak/>
        <w:t>Постановка задачи</w:t>
      </w:r>
      <w:bookmarkEnd w:id="27"/>
      <w:bookmarkEnd w:id="29"/>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30" w:name="_Toc7430191"/>
      <w:bookmarkStart w:id="31" w:name="_Toc8247175"/>
      <w:r w:rsidRPr="00CC6416">
        <w:rPr>
          <w:rFonts w:cs="Times New Roman"/>
          <w:szCs w:val="28"/>
        </w:rPr>
        <w:t>Требования к программе</w:t>
      </w:r>
      <w:bookmarkEnd w:id="30"/>
      <w:bookmarkEnd w:id="31"/>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2" w:name="_Toc7430192"/>
      <w:bookmarkStart w:id="33" w:name="_Toc8247176"/>
      <w:r w:rsidRPr="00DA677C">
        <w:rPr>
          <w:rFonts w:cs="Times New Roman"/>
          <w:szCs w:val="28"/>
        </w:rPr>
        <w:t>Цели и задачи проектирования</w:t>
      </w:r>
      <w:bookmarkEnd w:id="32"/>
      <w:bookmarkEnd w:id="33"/>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4" w:name="OLE_LINK16"/>
      <w:bookmarkStart w:id="35" w:name="OLE_LINK17"/>
      <w:r>
        <w:t>редактирование</w:t>
      </w:r>
      <w:r w:rsidRPr="00DA677C">
        <w:t xml:space="preserve"> </w:t>
      </w:r>
      <w:bookmarkEnd w:id="34"/>
      <w:bookmarkEnd w:id="35"/>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6"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7" w:name="_Toc8247177"/>
      <w:r>
        <w:lastRenderedPageBreak/>
        <w:t>Проектирование ПС</w:t>
      </w:r>
      <w:bookmarkEnd w:id="36"/>
      <w:bookmarkEnd w:id="37"/>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8" w:name="_Toc7430194"/>
      <w:bookmarkStart w:id="39" w:name="_Toc8247178"/>
      <w:r w:rsidRPr="00CC6416">
        <w:rPr>
          <w:rFonts w:cs="Times New Roman"/>
          <w:szCs w:val="28"/>
        </w:rPr>
        <w:t>Используемые технологии и средства разработки</w:t>
      </w:r>
      <w:bookmarkEnd w:id="38"/>
      <w:bookmarkEnd w:id="39"/>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0" w:name="_Toc7430195"/>
      <w:bookmarkStart w:id="41"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40"/>
      <w:bookmarkEnd w:id="41"/>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2" w:name="_Toc7430196"/>
      <w:bookmarkStart w:id="43" w:name="OLE_LINK18"/>
      <w:bookmarkStart w:id="44" w:name="OLE_LINK19"/>
      <w:bookmarkStart w:id="45" w:name="_Toc8247180"/>
      <w:proofErr w:type="spellStart"/>
      <w:r w:rsidRPr="00CC6416">
        <w:rPr>
          <w:rFonts w:cs="Times New Roman"/>
          <w:b/>
          <w:color w:val="000000"/>
          <w:szCs w:val="28"/>
        </w:rPr>
        <w:t>NetBeans</w:t>
      </w:r>
      <w:bookmarkEnd w:id="42"/>
      <w:bookmarkEnd w:id="45"/>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6" w:name="OLE_LINK20"/>
      <w:bookmarkStart w:id="47" w:name="OLE_LINK21"/>
      <w:r w:rsidRPr="00DA677C">
        <w:rPr>
          <w:color w:val="000000"/>
          <w:szCs w:val="28"/>
        </w:rPr>
        <w:t xml:space="preserve">свободная интегрированная среда разработки приложений </w:t>
      </w:r>
      <w:bookmarkEnd w:id="46"/>
      <w:bookmarkEnd w:id="47"/>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8" w:name="_Toc7430197"/>
      <w:bookmarkStart w:id="49" w:name="_Toc8247181"/>
      <w:proofErr w:type="spellStart"/>
      <w:r w:rsidRPr="00CC6416">
        <w:rPr>
          <w:rFonts w:cs="Times New Roman"/>
          <w:b/>
          <w:szCs w:val="28"/>
        </w:rPr>
        <w:t>JavaFX</w:t>
      </w:r>
      <w:bookmarkEnd w:id="48"/>
      <w:bookmarkEnd w:id="49"/>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50" w:name="OLE_LINK24"/>
      <w:bookmarkStart w:id="51"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50"/>
      <w:bookmarkEnd w:id="51"/>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2" w:name="OLE_LINK22"/>
      <w:bookmarkStart w:id="53"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2"/>
      <w:bookmarkEnd w:id="53"/>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4" w:name="_Toc7430198"/>
      <w:bookmarkStart w:id="55" w:name="_Toc8247182"/>
      <w:proofErr w:type="spellStart"/>
      <w:r w:rsidRPr="00CC6416">
        <w:rPr>
          <w:rFonts w:cs="Times New Roman"/>
          <w:b/>
          <w:szCs w:val="28"/>
        </w:rPr>
        <w:t>MySQL</w:t>
      </w:r>
      <w:bookmarkEnd w:id="54"/>
      <w:bookmarkEnd w:id="55"/>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6" w:name="OLE_LINK26"/>
      <w:bookmarkStart w:id="57" w:name="OLE_LINK27"/>
      <w:r w:rsidRPr="001C05A5">
        <w:rPr>
          <w:szCs w:val="29"/>
          <w:u w:color="000000"/>
          <w:lang w:val="en-US"/>
        </w:rPr>
        <w:t>MySQL</w:t>
      </w:r>
      <w:bookmarkEnd w:id="56"/>
      <w:bookmarkEnd w:id="57"/>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8" w:name="_Toc7430199"/>
      <w:bookmarkStart w:id="59" w:name="OLE_LINK33"/>
      <w:bookmarkStart w:id="60" w:name="_Toc8247183"/>
      <w:r w:rsidRPr="00CC6416">
        <w:rPr>
          <w:rFonts w:cs="Times New Roman"/>
          <w:b/>
          <w:szCs w:val="28"/>
        </w:rPr>
        <w:t xml:space="preserve">Библиотека </w:t>
      </w:r>
      <w:bookmarkStart w:id="61" w:name="OLE_LINK31"/>
      <w:bookmarkStart w:id="62" w:name="OLE_LINK32"/>
      <w:proofErr w:type="spellStart"/>
      <w:r w:rsidRPr="00CC6416">
        <w:rPr>
          <w:rFonts w:cs="Times New Roman"/>
          <w:b/>
          <w:szCs w:val="28"/>
        </w:rPr>
        <w:t>Apache</w:t>
      </w:r>
      <w:proofErr w:type="spellEnd"/>
      <w:r w:rsidRPr="00CC6416">
        <w:rPr>
          <w:rFonts w:cs="Times New Roman"/>
          <w:b/>
          <w:szCs w:val="28"/>
        </w:rPr>
        <w:t xml:space="preserve"> POI</w:t>
      </w:r>
      <w:bookmarkEnd w:id="58"/>
      <w:bookmarkEnd w:id="60"/>
      <w:bookmarkEnd w:id="61"/>
      <w:bookmarkEnd w:id="62"/>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3" w:name="_Toc7430200"/>
      <w:bookmarkStart w:id="64" w:name="_Toc8247184"/>
      <w:r w:rsidRPr="00DA677C">
        <w:rPr>
          <w:rFonts w:cs="Times New Roman"/>
          <w:szCs w:val="28"/>
        </w:rPr>
        <w:t>Архитектура приложения</w:t>
      </w:r>
      <w:bookmarkEnd w:id="63"/>
      <w:bookmarkEnd w:id="64"/>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5"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6" w:name="_Toc8247185"/>
      <w:r>
        <w:lastRenderedPageBreak/>
        <w:t>Разработка ПС</w:t>
      </w:r>
      <w:bookmarkEnd w:id="65"/>
      <w:bookmarkEnd w:id="66"/>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7" w:name="_Toc7430202"/>
      <w:bookmarkStart w:id="68" w:name="_Toc8247186"/>
      <w:r w:rsidRPr="00DA677C">
        <w:rPr>
          <w:rFonts w:cs="Times New Roman"/>
          <w:szCs w:val="28"/>
        </w:rPr>
        <w:t>Реализация клиентского-приложения</w:t>
      </w:r>
      <w:bookmarkEnd w:id="67"/>
      <w:bookmarkEnd w:id="68"/>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9" w:name="OLE_LINK28"/>
      <w:bookmarkStart w:id="70" w:name="OLE_LINK29"/>
      <w:bookmarkStart w:id="71"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2" w:name="_Toc7430203"/>
      <w:bookmarkEnd w:id="69"/>
      <w:bookmarkEnd w:id="70"/>
      <w:bookmarkEnd w:id="7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3" w:name="_Toc8247187"/>
      <w:r w:rsidRPr="00785412">
        <w:lastRenderedPageBreak/>
        <w:t>Описание использования</w:t>
      </w:r>
      <w:bookmarkEnd w:id="72"/>
      <w:bookmarkEnd w:id="73"/>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4" w:name="_Toc7430204"/>
      <w:bookmarkStart w:id="75" w:name="_Toc8247188"/>
      <w:r w:rsidRPr="00DA677C">
        <w:rPr>
          <w:rFonts w:cs="Times New Roman"/>
          <w:szCs w:val="28"/>
        </w:rPr>
        <w:t>Система нормирования материалов в конструкторской документации</w:t>
      </w:r>
      <w:bookmarkEnd w:id="74"/>
      <w:bookmarkEnd w:id="75"/>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6" w:name="_Toc8247189"/>
      <w:r>
        <w:lastRenderedPageBreak/>
        <w:t>ТЕХНИКО-ЭКОНОМИЧЕСКОЕ ОБОСНОВАНИЕ ПРОЕКТА ПО РАЗРАБОТКЕ ПРОГРАММНОГО СРЕДСТВА</w:t>
      </w:r>
      <w:bookmarkEnd w:id="5"/>
      <w:bookmarkEnd w:id="6"/>
      <w:bookmarkEnd w:id="76"/>
    </w:p>
    <w:p w:rsidR="00167261" w:rsidRDefault="008875F1" w:rsidP="00310659">
      <w:pPr>
        <w:pStyle w:val="2"/>
        <w:numPr>
          <w:ilvl w:val="1"/>
          <w:numId w:val="7"/>
        </w:numPr>
        <w:spacing w:before="0" w:after="0"/>
        <w:ind w:left="0" w:firstLine="709"/>
      </w:pPr>
      <w:bookmarkStart w:id="77" w:name="_Toc514323717"/>
      <w:bookmarkStart w:id="78" w:name="_Toc8247190"/>
      <w:r>
        <w:t>Общая характеристика программного средства</w:t>
      </w:r>
      <w:bookmarkEnd w:id="77"/>
      <w:bookmarkEnd w:id="78"/>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A66D7D">
        <w:t>к</w:t>
      </w:r>
      <w:r w:rsidR="00A66D7D" w:rsidRPr="00A66D7D">
        <w:t>омпани</w:t>
      </w:r>
      <w:r w:rsidR="00CC6D49">
        <w:t>и</w:t>
      </w:r>
      <w:r w:rsidR="00A66D7D">
        <w:t xml:space="preserve"> </w:t>
      </w:r>
      <w:r w:rsidRPr="008875F1">
        <w:t xml:space="preserve">из </w:t>
      </w:r>
      <w:r w:rsidR="00A66D7D">
        <w:t>Беларуси</w:t>
      </w:r>
      <w:r w:rsidRPr="008875F1">
        <w:t xml:space="preserve">. </w:t>
      </w:r>
    </w:p>
    <w:p w:rsidR="008875F1" w:rsidRPr="008875F1" w:rsidRDefault="008875F1" w:rsidP="00310659">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r w:rsidR="00CC6D49">
        <w:t xml:space="preserve">графику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310659">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9" w:name="_Toc8247191"/>
      <w:r w:rsidRPr="00925D3B">
        <w:rPr>
          <w:rFonts w:eastAsia="Times New Roman" w:cs="Times New Roman"/>
        </w:rPr>
        <w:t>Расчет затрат на разработку ПО</w:t>
      </w:r>
      <w:bookmarkEnd w:id="79"/>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80" w:name="_Toc8247192"/>
      <w:r w:rsidRPr="00925D3B">
        <w:rPr>
          <w:rFonts w:eastAsia="Times New Roman" w:cs="Times New Roman"/>
          <w:b/>
          <w:sz w:val="29"/>
        </w:rPr>
        <w:t>Расчет затрат на основную заработную плату разработчиков</w:t>
      </w:r>
      <w:bookmarkEnd w:id="80"/>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lastRenderedPageBreak/>
        <w:t xml:space="preserve"> </w:t>
      </w:r>
    </w:p>
    <w:p w:rsidR="00925D3B" w:rsidRDefault="00925D3B" w:rsidP="00310659">
      <w:pPr>
        <w:ind w:firstLine="709"/>
      </w:pPr>
      <w:r>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80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BF365C">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CB4891" w:rsidP="00925D3B">
            <w:pPr>
              <w:spacing w:line="259" w:lineRule="auto"/>
              <w:ind w:right="113"/>
              <w:jc w:val="center"/>
            </w:pPr>
            <w:r>
              <w:t>80</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right="115"/>
              <w:jc w:val="center"/>
            </w:pPr>
            <w:r w:rsidRPr="004F54CD">
              <w:t>821,43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BF365C">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left="122"/>
              <w:jc w:val="center"/>
            </w:pPr>
            <w:r w:rsidRPr="004F54CD">
              <w:rPr>
                <w:sz w:val="29"/>
              </w:rPr>
              <w:t>1 232,14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1"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1"/>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lastRenderedPageBreak/>
        <w:t xml:space="preserve"> </w:t>
      </w:r>
      <w:r w:rsidRPr="00925D3B">
        <w:rPr>
          <w:rFonts w:eastAsia="Times New Roman" w:cs="Times New Roman"/>
          <w:i/>
        </w:rPr>
        <w:t xml:space="preserve"> </w:t>
      </w:r>
    </w:p>
    <w:p w:rsidR="00257D4F" w:rsidRDefault="00807F6B"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1232,14*20</m:t>
              </m:r>
            </m:num>
            <m:den>
              <m:r>
                <w:rPr>
                  <w:rFonts w:ascii="Cambria Math" w:hAnsi="Cambria Math"/>
                </w:rPr>
                <m:t>100</m:t>
              </m:r>
            </m:den>
          </m:f>
          <m:r>
            <w:rPr>
              <w:rFonts w:ascii="Cambria Math" w:hAnsi="Cambria Math"/>
            </w:rPr>
            <m:t>=184,82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247194"/>
      <w:r w:rsidRPr="00925D3B">
        <w:rPr>
          <w:b/>
        </w:rPr>
        <w:t>Расчет затрат на социальные нужды</w:t>
      </w:r>
      <w:bookmarkEnd w:id="82"/>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807F6B"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1232,14+184,82</m:t>
                  </m:r>
                </m:e>
              </m:d>
              <m:r>
                <w:rPr>
                  <w:rFonts w:ascii="Cambria Math" w:hAnsi="Cambria Math"/>
                </w:rPr>
                <m:t>*34,6</m:t>
              </m:r>
            </m:num>
            <m:den>
              <m:r>
                <w:rPr>
                  <w:rFonts w:ascii="Cambria Math" w:hAnsi="Cambria Math"/>
                </w:rPr>
                <m:t>100</m:t>
              </m:r>
            </m:den>
          </m:f>
          <m:r>
            <w:rPr>
              <w:rFonts w:ascii="Cambria Math" w:hAnsi="Cambria Math"/>
            </w:rPr>
            <m:t>=490,27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3" w:name="_Toc8247195"/>
      <w:r w:rsidRPr="00925D3B">
        <w:rPr>
          <w:b/>
        </w:rPr>
        <w:t>Расчет прочих затрат</w:t>
      </w:r>
      <w:bookmarkEnd w:id="83"/>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807F6B"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1478,57∙120</m:t>
              </m:r>
            </m:num>
            <m:den>
              <m:r>
                <w:rPr>
                  <w:rFonts w:ascii="Cambria Math" w:hAnsi="Cambria Math"/>
                </w:rPr>
                <m:t>100</m:t>
              </m:r>
            </m:den>
          </m:f>
          <m:r>
            <w:rPr>
              <w:rFonts w:ascii="Cambria Math" w:hAnsi="Cambria Math"/>
            </w:rPr>
            <m:t>=1478,57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lastRenderedPageBreak/>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1 232,14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184,82</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490,27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1 478,57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4F54CD" w:rsidP="004F54CD">
            <w:pPr>
              <w:jc w:val="center"/>
            </w:pPr>
            <w:r w:rsidRPr="005F27A7">
              <w:t>3 385,81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4" w:name="_Toc8247196"/>
      <w:r>
        <w:rPr>
          <w:rFonts w:eastAsia="Times New Roman" w:cs="Times New Roman"/>
        </w:rPr>
        <w:t>Оценка результата от продажи ПО. Расчет экономического эффекта.</w:t>
      </w:r>
      <w:bookmarkEnd w:id="84"/>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807F6B"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3385,81∙10</m:t>
              </m:r>
            </m:num>
            <m:den>
              <m:r>
                <w:rPr>
                  <w:rFonts w:ascii="Cambria Math" w:hAnsi="Cambria Math"/>
                </w:rPr>
                <m:t>100</m:t>
              </m:r>
            </m:den>
          </m:f>
          <m:r>
            <w:rPr>
              <w:rFonts w:ascii="Cambria Math" w:hAnsi="Cambria Math"/>
            </w:rPr>
            <m:t>=338,58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3385</w:t>
      </w:r>
      <w:r w:rsidR="001964C4">
        <w:rPr>
          <w:rFonts w:ascii="Cambria Math" w:eastAsia="Cambria Math" w:hAnsi="Cambria Math" w:cs="Cambria Math"/>
          <w:sz w:val="29"/>
        </w:rPr>
        <w:t>,</w:t>
      </w:r>
      <w:r w:rsidR="004F54CD">
        <w:rPr>
          <w:rFonts w:ascii="Cambria Math" w:eastAsia="Cambria Math" w:hAnsi="Cambria Math" w:cs="Cambria Math"/>
          <w:sz w:val="29"/>
        </w:rPr>
        <w:t>81</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w:t>
      </w:r>
      <w:r>
        <w:rPr>
          <w:rFonts w:ascii="Cambria Math" w:eastAsia="Cambria Math" w:hAnsi="Cambria Math" w:cs="Cambria Math"/>
          <w:sz w:val="29"/>
        </w:rPr>
        <w:t>,</w:t>
      </w:r>
      <w:r w:rsidR="004F54CD">
        <w:rPr>
          <w:rFonts w:ascii="Cambria Math" w:eastAsia="Cambria Math" w:hAnsi="Cambria Math" w:cs="Cambria Math"/>
          <w:sz w:val="29"/>
        </w:rPr>
        <w:t>58</w:t>
      </w:r>
      <w:r>
        <w:rPr>
          <w:rFonts w:ascii="Cambria Math" w:eastAsia="Cambria Math" w:hAnsi="Cambria Math" w:cs="Cambria Math"/>
          <w:sz w:val="29"/>
        </w:rPr>
        <w:t xml:space="preserve"> = </w:t>
      </w:r>
      <w:r w:rsidR="004F54CD">
        <w:rPr>
          <w:rFonts w:ascii="Cambria Math" w:eastAsia="Cambria Math" w:hAnsi="Cambria Math" w:cs="Cambria Math"/>
          <w:sz w:val="29"/>
        </w:rPr>
        <w:t>3724</w:t>
      </w:r>
      <w:r>
        <w:rPr>
          <w:rFonts w:ascii="Cambria Math" w:eastAsia="Cambria Math" w:hAnsi="Cambria Math" w:cs="Cambria Math"/>
          <w:sz w:val="29"/>
        </w:rPr>
        <w:t>,</w:t>
      </w:r>
      <w:r w:rsidR="004F54CD">
        <w:rPr>
          <w:rFonts w:ascii="Cambria Math" w:eastAsia="Cambria Math" w:hAnsi="Cambria Math" w:cs="Cambria Math"/>
          <w:sz w:val="29"/>
        </w:rPr>
        <w:t>39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310659">
      <w:pPr>
        <w:ind w:firstLine="709"/>
      </w:pPr>
      <w:r>
        <w:lastRenderedPageBreak/>
        <w:t>Цену одной подписки обоснуем средней ценой на аналогичное программное обеспечение на рынке. На данный момент средняя цена на годовую подписку на подобные сервисы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807F6B"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3724,39</m:t>
              </m:r>
            </m:num>
            <m:den>
              <m:r>
                <w:rPr>
                  <w:rFonts w:ascii="Cambria Math" w:hAnsi="Cambria Math"/>
                </w:rPr>
                <m:t>100</m:t>
              </m:r>
            </m:den>
          </m:f>
          <m:r>
            <w:rPr>
              <w:rFonts w:ascii="Cambria Math" w:hAnsi="Cambria Math"/>
            </w:rPr>
            <m:t>=162,11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4F54CD">
        <w:rPr>
          <w:rFonts w:ascii="Cambria Math" w:eastAsia="Cambria Math" w:hAnsi="Cambria Math" w:cs="Cambria Math"/>
          <w:sz w:val="29"/>
        </w:rPr>
        <w:t>2</w:t>
      </w:r>
      <w:r w:rsidR="00F11FBF">
        <w:rPr>
          <w:rFonts w:ascii="Cambria Math" w:eastAsia="Cambria Math" w:hAnsi="Cambria Math" w:cs="Cambria Math"/>
          <w:sz w:val="29"/>
        </w:rPr>
        <w:t>,</w:t>
      </w:r>
      <w:r w:rsidR="004F54CD">
        <w:rPr>
          <w:rFonts w:ascii="Cambria Math" w:eastAsia="Cambria Math" w:hAnsi="Cambria Math" w:cs="Cambria Math"/>
          <w:sz w:val="29"/>
        </w:rPr>
        <w:t>11</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4F54CD">
        <w:rPr>
          <w:rFonts w:ascii="Cambria Math" w:eastAsia="Cambria Math" w:hAnsi="Cambria Math" w:cs="Cambria Math"/>
          <w:sz w:val="29"/>
        </w:rPr>
        <w:t>210</w:t>
      </w:r>
      <w:r w:rsidR="00F11FBF">
        <w:rPr>
          <w:rFonts w:ascii="Cambria Math" w:eastAsia="Cambria Math" w:hAnsi="Cambria Math" w:cs="Cambria Math"/>
          <w:sz w:val="29"/>
        </w:rPr>
        <w:t>,</w:t>
      </w:r>
      <w:r w:rsidR="004F54CD">
        <w:rPr>
          <w:rFonts w:ascii="Cambria Math" w:eastAsia="Cambria Math" w:hAnsi="Cambria Math" w:cs="Cambria Math"/>
          <w:sz w:val="29"/>
        </w:rPr>
        <w:t>89</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20%,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ЧП=16210,89-</m:t>
          </m:r>
          <m:f>
            <m:fPr>
              <m:ctrlPr>
                <w:rPr>
                  <w:rFonts w:ascii="Cambria Math" w:hAnsi="Cambria Math"/>
                  <w:i/>
                </w:rPr>
              </m:ctrlPr>
            </m:fPr>
            <m:num>
              <m:r>
                <w:rPr>
                  <w:rFonts w:ascii="Cambria Math" w:hAnsi="Cambria Math"/>
                </w:rPr>
                <m:t>16210,89*20</m:t>
              </m:r>
            </m:num>
            <m:den>
              <m:r>
                <w:rPr>
                  <w:rFonts w:ascii="Cambria Math" w:hAnsi="Cambria Math"/>
                </w:rPr>
                <m:t>100</m:t>
              </m:r>
            </m:den>
          </m:f>
          <m:r>
            <w:rPr>
              <w:rFonts w:ascii="Cambria Math" w:hAnsi="Cambria Math"/>
            </w:rPr>
            <m:t>=</m:t>
          </m:r>
          <m:r>
            <w:rPr>
              <w:rFonts w:ascii="Cambria Math" w:eastAsiaTheme="minorEastAsia" w:hAnsi="Cambria Math"/>
            </w:rPr>
            <m:t>12968,72 руб.</m:t>
          </m:r>
        </m:oMath>
      </m:oMathPara>
    </w:p>
    <w:p w:rsidR="00787CBE" w:rsidRDefault="00787CBE" w:rsidP="00787CBE">
      <w:pPr>
        <w:pStyle w:val="2"/>
        <w:numPr>
          <w:ilvl w:val="1"/>
          <w:numId w:val="7"/>
        </w:numPr>
        <w:spacing w:after="295"/>
        <w:ind w:right="695"/>
      </w:pPr>
      <w:bookmarkStart w:id="85" w:name="_Toc8247197"/>
      <w:r>
        <w:rPr>
          <w:rFonts w:eastAsia="Times New Roman" w:cs="Times New Roman"/>
        </w:rPr>
        <w:t>Расчет показателей эффективности инвестиций в разработку ПО</w:t>
      </w:r>
      <w:bookmarkEnd w:id="85"/>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w:t>
      </w:r>
      <w:r>
        <w:lastRenderedPageBreak/>
        <w:t xml:space="preserve">началу расчетного периода, что обеспечивает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787CBE">
      <w:pPr>
        <w:spacing w:after="60" w:line="259" w:lineRule="auto"/>
        <w:ind w:left="706" w:right="537" w:hanging="716"/>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787CBE">
      <w:pPr>
        <w:ind w:left="710" w:right="797"/>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20</w:t>
      </w:r>
      <w:r w:rsidR="004C4B51">
        <w:t>20</w:t>
      </w:r>
      <w:r>
        <w:t xml:space="preserve"> – 2; 20</w:t>
      </w:r>
      <w:r w:rsidR="004C4B51">
        <w:t>21</w:t>
      </w:r>
      <w:r>
        <w:t xml:space="preserve"> – 3; 202</w:t>
      </w:r>
      <w:r w:rsidR="004C4B51">
        <w:t>2</w:t>
      </w:r>
      <w:r>
        <w:t xml:space="preserve"> – 4) </w:t>
      </w:r>
    </w:p>
    <w:p w:rsidR="00787CBE" w:rsidRDefault="00787CBE" w:rsidP="00787CBE">
      <w:pPr>
        <w:spacing w:after="23" w:line="259" w:lineRule="auto"/>
        <w:ind w:left="710"/>
      </w:pPr>
      <w:r>
        <w:t xml:space="preserve"> </w:t>
      </w:r>
    </w:p>
    <w:p w:rsidR="00787CBE" w:rsidRDefault="00787CBE" w:rsidP="00787CBE">
      <w:pPr>
        <w:spacing w:after="41" w:line="270" w:lineRule="auto"/>
        <w:ind w:left="5" w:right="795" w:firstLine="737"/>
      </w:pPr>
      <w:r>
        <w:rPr>
          <w:sz w:val="29"/>
        </w:rPr>
        <w:t>Норму дисконта примем равной 1</w:t>
      </w:r>
      <w:r w:rsidR="001964C4">
        <w:rPr>
          <w:sz w:val="29"/>
        </w:rPr>
        <w:t>0</w:t>
      </w:r>
      <w:r>
        <w:rPr>
          <w:sz w:val="29"/>
        </w:rPr>
        <w:t>% (величина ставки рефинансирования на момент расчета).</w:t>
      </w:r>
      <w:r>
        <w:t xml:space="preserve"> </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2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1−2 </w:t>
      </w:r>
      <w:r>
        <w:rPr>
          <w:rFonts w:ascii="Cambria Math" w:eastAsia="Cambria Math" w:hAnsi="Cambria Math" w:cs="Cambria Math"/>
          <w:sz w:val="29"/>
        </w:rPr>
        <w:t>= 0,</w:t>
      </w:r>
      <w:r w:rsidR="001964C4">
        <w:rPr>
          <w:rFonts w:ascii="Cambria Math" w:eastAsia="Cambria Math" w:hAnsi="Cambria Math" w:cs="Cambria Math"/>
          <w:sz w:val="29"/>
        </w:rPr>
        <w:t>909</w:t>
      </w:r>
      <w:r>
        <w:rPr>
          <w:rFonts w:ascii="Cambria Math" w:eastAsia="Cambria Math" w:hAnsi="Cambria Math" w:cs="Cambria Math"/>
          <w:sz w:val="29"/>
        </w:rPr>
        <w:t xml:space="preserve"> − </w:t>
      </w:r>
      <w:r>
        <w:rPr>
          <w:sz w:val="29"/>
        </w:rPr>
        <w:t>20</w:t>
      </w:r>
      <w:r w:rsidR="004C4B51">
        <w:rPr>
          <w:sz w:val="29"/>
        </w:rPr>
        <w:t>20</w:t>
      </w:r>
      <w:r>
        <w:rPr>
          <w:sz w:val="29"/>
        </w:rPr>
        <w:t xml:space="preserve"> год;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3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1−3 </w:t>
      </w:r>
      <w:r>
        <w:rPr>
          <w:rFonts w:ascii="Cambria Math" w:eastAsia="Cambria Math" w:hAnsi="Cambria Math" w:cs="Cambria Math"/>
          <w:sz w:val="29"/>
        </w:rPr>
        <w:t>= 0,</w:t>
      </w:r>
      <w:r w:rsidR="001964C4">
        <w:rPr>
          <w:rFonts w:ascii="Cambria Math" w:eastAsia="Cambria Math" w:hAnsi="Cambria Math" w:cs="Cambria Math"/>
          <w:sz w:val="29"/>
        </w:rPr>
        <w:t>826</w:t>
      </w:r>
      <w:r>
        <w:rPr>
          <w:rFonts w:ascii="Cambria Math" w:eastAsia="Cambria Math" w:hAnsi="Cambria Math" w:cs="Cambria Math"/>
          <w:sz w:val="29"/>
        </w:rPr>
        <w:t xml:space="preserve"> − </w:t>
      </w:r>
      <w:r>
        <w:rPr>
          <w:sz w:val="29"/>
        </w:rPr>
        <w:t>20</w:t>
      </w:r>
      <w:r w:rsidR="004C4B51">
        <w:rPr>
          <w:sz w:val="29"/>
        </w:rPr>
        <w:t>21</w:t>
      </w:r>
      <w:r>
        <w:rPr>
          <w:sz w:val="29"/>
        </w:rPr>
        <w:t xml:space="preserve"> год; </w:t>
      </w:r>
    </w:p>
    <w:p w:rsidR="00787CBE" w:rsidRDefault="00787CBE" w:rsidP="00787CBE">
      <w:pPr>
        <w:spacing w:after="70"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4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1−4 </w:t>
      </w:r>
      <w:r>
        <w:rPr>
          <w:rFonts w:ascii="Cambria Math" w:eastAsia="Cambria Math" w:hAnsi="Cambria Math" w:cs="Cambria Math"/>
          <w:sz w:val="29"/>
        </w:rPr>
        <w:t>= 0,</w:t>
      </w:r>
      <w:r w:rsidR="001964C4">
        <w:rPr>
          <w:rFonts w:ascii="Cambria Math" w:eastAsia="Cambria Math" w:hAnsi="Cambria Math" w:cs="Cambria Math"/>
          <w:sz w:val="29"/>
        </w:rPr>
        <w:t>751</w:t>
      </w:r>
      <w:r>
        <w:rPr>
          <w:rFonts w:ascii="Cambria Math" w:eastAsia="Cambria Math" w:hAnsi="Cambria Math" w:cs="Cambria Math"/>
          <w:sz w:val="29"/>
        </w:rPr>
        <w:t xml:space="preserve"> − </w:t>
      </w:r>
      <w:r>
        <w:rPr>
          <w:sz w:val="29"/>
        </w:rPr>
        <w:t>202</w:t>
      </w:r>
      <w:r w:rsidR="004C4B51">
        <w:rPr>
          <w:sz w:val="29"/>
        </w:rPr>
        <w:t>2</w:t>
      </w:r>
      <w:r>
        <w:rPr>
          <w:sz w:val="29"/>
        </w:rPr>
        <w:t xml:space="preserve"> год. </w:t>
      </w:r>
    </w:p>
    <w:p w:rsidR="00787CBE" w:rsidRDefault="00787CBE" w:rsidP="00787CBE">
      <w:pPr>
        <w:spacing w:after="71" w:line="259" w:lineRule="auto"/>
        <w:ind w:left="710"/>
      </w:pPr>
      <w:r>
        <w:t xml:space="preserve"> </w:t>
      </w: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787CBE">
      <w:pPr>
        <w:ind w:left="710" w:right="797"/>
      </w:pPr>
      <w:r>
        <w:lastRenderedPageBreak/>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787CBE">
      <w:pPr>
        <w:spacing w:after="160"/>
        <w:ind w:left="-10" w:right="797"/>
      </w:pPr>
      <w:r>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Style w:val="TableGrid"/>
        <w:tblW w:w="9347" w:type="dxa"/>
        <w:tblInd w:w="10" w:type="dxa"/>
        <w:tblCellMar>
          <w:top w:w="9" w:type="dxa"/>
          <w:left w:w="108" w:type="dxa"/>
          <w:right w:w="40" w:type="dxa"/>
        </w:tblCellMar>
        <w:tblLook w:val="04A0" w:firstRow="1" w:lastRow="0" w:firstColumn="1" w:lastColumn="0" w:noHBand="0" w:noVBand="1"/>
      </w:tblPr>
      <w:tblGrid>
        <w:gridCol w:w="2555"/>
        <w:gridCol w:w="1634"/>
        <w:gridCol w:w="1719"/>
        <w:gridCol w:w="1721"/>
        <w:gridCol w:w="1718"/>
      </w:tblGrid>
      <w:tr w:rsidR="00787CBE" w:rsidTr="00B14235">
        <w:trPr>
          <w:trHeight w:val="377"/>
        </w:trPr>
        <w:tc>
          <w:tcPr>
            <w:tcW w:w="2555" w:type="dxa"/>
            <w:vMerge w:val="restart"/>
            <w:tcBorders>
              <w:top w:val="single" w:sz="4" w:space="0" w:color="000000"/>
              <w:left w:val="single" w:sz="4" w:space="0" w:color="000000"/>
              <w:bottom w:val="single" w:sz="4" w:space="0" w:color="000000"/>
              <w:right w:val="single" w:sz="4" w:space="0" w:color="000000"/>
            </w:tcBorders>
            <w:vAlign w:val="center"/>
          </w:tcPr>
          <w:p w:rsidR="00787CBE" w:rsidRDefault="00787CBE" w:rsidP="00BF365C">
            <w:pPr>
              <w:spacing w:line="259" w:lineRule="auto"/>
              <w:ind w:right="69"/>
              <w:jc w:val="center"/>
            </w:pPr>
            <w:r>
              <w:t xml:space="preserve">Показатель </w:t>
            </w:r>
          </w:p>
        </w:tc>
        <w:tc>
          <w:tcPr>
            <w:tcW w:w="1634" w:type="dxa"/>
            <w:tcBorders>
              <w:top w:val="single" w:sz="4" w:space="0" w:color="000000"/>
              <w:left w:val="single" w:sz="4" w:space="0" w:color="000000"/>
              <w:bottom w:val="single" w:sz="4" w:space="0" w:color="000000"/>
              <w:right w:val="nil"/>
            </w:tcBorders>
          </w:tcPr>
          <w:p w:rsidR="00787CBE" w:rsidRDefault="00787CBE" w:rsidP="00BF365C">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BF365C">
            <w:pPr>
              <w:spacing w:line="259" w:lineRule="auto"/>
              <w:ind w:left="13"/>
              <w:jc w:val="center"/>
            </w:pPr>
            <w:r>
              <w:t xml:space="preserve">Расчетный период </w:t>
            </w:r>
          </w:p>
        </w:tc>
        <w:tc>
          <w:tcPr>
            <w:tcW w:w="1718" w:type="dxa"/>
            <w:tcBorders>
              <w:top w:val="single" w:sz="4" w:space="0" w:color="000000"/>
              <w:left w:val="nil"/>
              <w:bottom w:val="single" w:sz="4" w:space="0" w:color="000000"/>
              <w:right w:val="single" w:sz="4" w:space="0" w:color="000000"/>
            </w:tcBorders>
          </w:tcPr>
          <w:p w:rsidR="00787CBE" w:rsidRDefault="00787CBE" w:rsidP="00BF365C">
            <w:pPr>
              <w:spacing w:after="160" w:line="259" w:lineRule="auto"/>
            </w:pPr>
          </w:p>
        </w:tc>
      </w:tr>
      <w:tr w:rsidR="00787CBE" w:rsidTr="00BF365C">
        <w:trPr>
          <w:trHeight w:val="386"/>
        </w:trPr>
        <w:tc>
          <w:tcPr>
            <w:tcW w:w="0" w:type="auto"/>
            <w:vMerge/>
            <w:tcBorders>
              <w:top w:val="nil"/>
              <w:left w:val="single" w:sz="4" w:space="0" w:color="000000"/>
              <w:bottom w:val="single" w:sz="4" w:space="0" w:color="000000"/>
              <w:right w:val="single" w:sz="4" w:space="0" w:color="000000"/>
            </w:tcBorders>
          </w:tcPr>
          <w:p w:rsidR="00787CBE" w:rsidRDefault="00787CBE" w:rsidP="00BF365C">
            <w:pPr>
              <w:spacing w:after="160" w:line="259" w:lineRule="auto"/>
            </w:pPr>
          </w:p>
        </w:tc>
        <w:tc>
          <w:tcPr>
            <w:tcW w:w="1634"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6"/>
              <w:jc w:val="center"/>
            </w:pPr>
            <w:r>
              <w:rPr>
                <w:rFonts w:ascii="Cambria Math" w:eastAsia="Cambria Math" w:hAnsi="Cambria Math" w:cs="Cambria Math"/>
              </w:rPr>
              <w:t>201</w:t>
            </w:r>
            <w:r w:rsidR="00CD06C5">
              <w:rPr>
                <w:rFonts w:ascii="Cambria Math" w:eastAsia="Cambria Math" w:hAnsi="Cambria Math" w:cs="Cambria Math"/>
              </w:rPr>
              <w:t>9</w:t>
            </w: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4"/>
              <w:jc w:val="center"/>
            </w:pPr>
            <w:r>
              <w:rPr>
                <w:rFonts w:ascii="Cambria Math" w:eastAsia="Cambria Math" w:hAnsi="Cambria Math" w:cs="Cambria Math"/>
              </w:rPr>
              <w:t>20</w:t>
            </w:r>
            <w:r w:rsidR="00CD06C5">
              <w:rPr>
                <w:rFonts w:ascii="Cambria Math" w:eastAsia="Cambria Math" w:hAnsi="Cambria Math" w:cs="Cambria Math"/>
              </w:rPr>
              <w:t>20</w:t>
            </w:r>
            <w:r>
              <w:t xml:space="preserve"> </w:t>
            </w:r>
          </w:p>
        </w:tc>
        <w:tc>
          <w:tcPr>
            <w:tcW w:w="1721"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7"/>
              <w:jc w:val="center"/>
            </w:pPr>
            <w:r>
              <w:rPr>
                <w:rFonts w:ascii="Cambria Math" w:eastAsia="Cambria Math" w:hAnsi="Cambria Math" w:cs="Cambria Math"/>
              </w:rPr>
              <w:t>20</w:t>
            </w:r>
            <w:r w:rsidR="00CD06C5">
              <w:rPr>
                <w:rFonts w:ascii="Cambria Math" w:eastAsia="Cambria Math" w:hAnsi="Cambria Math" w:cs="Cambria Math"/>
              </w:rPr>
              <w:t>21</w:t>
            </w:r>
            <w:r>
              <w:t xml:space="preserve"> </w:t>
            </w:r>
          </w:p>
        </w:tc>
        <w:tc>
          <w:tcPr>
            <w:tcW w:w="1718"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9"/>
              <w:jc w:val="center"/>
            </w:pPr>
            <w:r>
              <w:rPr>
                <w:rFonts w:ascii="Cambria Math" w:eastAsia="Cambria Math" w:hAnsi="Cambria Math" w:cs="Cambria Math"/>
              </w:rPr>
              <w:t>202</w:t>
            </w:r>
            <w:r w:rsidR="00CD06C5">
              <w:rPr>
                <w:rFonts w:ascii="Cambria Math" w:eastAsia="Cambria Math" w:hAnsi="Cambria Math" w:cs="Cambria Math"/>
              </w:rPr>
              <w:t>2</w:t>
            </w:r>
            <w:r>
              <w:t xml:space="preserve"> </w:t>
            </w:r>
          </w:p>
        </w:tc>
      </w:tr>
      <w:tr w:rsidR="00787CBE" w:rsidTr="00B14235">
        <w:trPr>
          <w:trHeight w:val="377"/>
        </w:trPr>
        <w:tc>
          <w:tcPr>
            <w:tcW w:w="2555"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8"/>
              <w:jc w:val="center"/>
            </w:pPr>
            <w:r>
              <w:t xml:space="preserve">РЕЗУЛЬТАТ </w:t>
            </w:r>
          </w:p>
        </w:tc>
        <w:tc>
          <w:tcPr>
            <w:tcW w:w="1634" w:type="dxa"/>
            <w:tcBorders>
              <w:top w:val="single" w:sz="4" w:space="0" w:color="000000"/>
              <w:left w:val="single" w:sz="4" w:space="0" w:color="000000"/>
              <w:bottom w:val="single" w:sz="4" w:space="0" w:color="000000"/>
              <w:right w:val="nil"/>
            </w:tcBorders>
          </w:tcPr>
          <w:p w:rsidR="00787CBE" w:rsidRDefault="00787CBE" w:rsidP="00BF365C">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BF365C">
            <w:pPr>
              <w:spacing w:line="259" w:lineRule="auto"/>
              <w:ind w:left="86"/>
              <w:jc w:val="center"/>
            </w:pPr>
            <w:r>
              <w:t xml:space="preserve"> </w:t>
            </w:r>
          </w:p>
        </w:tc>
        <w:tc>
          <w:tcPr>
            <w:tcW w:w="1718" w:type="dxa"/>
            <w:tcBorders>
              <w:top w:val="single" w:sz="4" w:space="0" w:color="000000"/>
              <w:left w:val="nil"/>
              <w:bottom w:val="single" w:sz="4" w:space="0" w:color="000000"/>
              <w:right w:val="single" w:sz="4" w:space="0" w:color="000000"/>
            </w:tcBorders>
          </w:tcPr>
          <w:p w:rsidR="00787CBE" w:rsidRDefault="00787CBE" w:rsidP="00BF365C">
            <w:pPr>
              <w:spacing w:after="160" w:line="259" w:lineRule="auto"/>
            </w:pPr>
          </w:p>
        </w:tc>
      </w:tr>
      <w:tr w:rsidR="004F54CD" w:rsidTr="004F54CD">
        <w:trPr>
          <w:trHeight w:val="742"/>
        </w:trPr>
        <w:tc>
          <w:tcPr>
            <w:tcW w:w="2555" w:type="dxa"/>
            <w:tcBorders>
              <w:top w:val="single" w:sz="4" w:space="0" w:color="000000"/>
              <w:left w:val="single" w:sz="4" w:space="0" w:color="000000"/>
              <w:bottom w:val="single" w:sz="4" w:space="0" w:color="000000"/>
              <w:right w:val="single" w:sz="4" w:space="0" w:color="000000"/>
            </w:tcBorders>
          </w:tcPr>
          <w:p w:rsidR="004F54CD" w:rsidRDefault="004F54CD" w:rsidP="004F54CD">
            <w:pPr>
              <w:spacing w:line="259" w:lineRule="auto"/>
              <w:jc w:val="center"/>
            </w:pPr>
            <w:r>
              <w:t xml:space="preserve">Экономический эффект </w:t>
            </w:r>
          </w:p>
        </w:tc>
        <w:tc>
          <w:tcPr>
            <w:tcW w:w="1634"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w:t>
            </w:r>
          </w:p>
        </w:tc>
        <w:tc>
          <w:tcPr>
            <w:tcW w:w="1719"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12968,72</w:t>
            </w:r>
          </w:p>
        </w:tc>
        <w:tc>
          <w:tcPr>
            <w:tcW w:w="1721"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12968,72</w:t>
            </w:r>
          </w:p>
        </w:tc>
        <w:tc>
          <w:tcPr>
            <w:tcW w:w="1718"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12968,72</w:t>
            </w:r>
          </w:p>
        </w:tc>
      </w:tr>
      <w:tr w:rsidR="004F54CD" w:rsidTr="004F54CD">
        <w:trPr>
          <w:trHeight w:val="742"/>
        </w:trPr>
        <w:tc>
          <w:tcPr>
            <w:tcW w:w="2555" w:type="dxa"/>
            <w:tcBorders>
              <w:top w:val="single" w:sz="4" w:space="0" w:color="000000"/>
              <w:left w:val="single" w:sz="4" w:space="0" w:color="000000"/>
              <w:bottom w:val="single" w:sz="4" w:space="0" w:color="000000"/>
              <w:right w:val="single" w:sz="4" w:space="0" w:color="000000"/>
            </w:tcBorders>
          </w:tcPr>
          <w:p w:rsidR="004F54CD" w:rsidRDefault="004F54CD" w:rsidP="004F54CD">
            <w:pPr>
              <w:spacing w:line="259" w:lineRule="auto"/>
              <w:jc w:val="center"/>
            </w:pPr>
            <w:r>
              <w:t xml:space="preserve">Дисконтированный результат </w:t>
            </w:r>
          </w:p>
        </w:tc>
        <w:tc>
          <w:tcPr>
            <w:tcW w:w="1634"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w:t>
            </w:r>
          </w:p>
        </w:tc>
        <w:tc>
          <w:tcPr>
            <w:tcW w:w="1719"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11789,74</w:t>
            </w:r>
          </w:p>
        </w:tc>
        <w:tc>
          <w:tcPr>
            <w:tcW w:w="1721"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10717,95</w:t>
            </w:r>
          </w:p>
        </w:tc>
        <w:tc>
          <w:tcPr>
            <w:tcW w:w="1718"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9743,59</w:t>
            </w:r>
          </w:p>
        </w:tc>
      </w:tr>
      <w:tr w:rsidR="004F54CD" w:rsidTr="004F54CD">
        <w:trPr>
          <w:trHeight w:val="377"/>
        </w:trPr>
        <w:tc>
          <w:tcPr>
            <w:tcW w:w="2555" w:type="dxa"/>
            <w:tcBorders>
              <w:top w:val="single" w:sz="4" w:space="0" w:color="000000"/>
              <w:left w:val="single" w:sz="4" w:space="0" w:color="000000"/>
              <w:bottom w:val="single" w:sz="4" w:space="0" w:color="000000"/>
              <w:right w:val="single" w:sz="4" w:space="0" w:color="000000"/>
            </w:tcBorders>
          </w:tcPr>
          <w:p w:rsidR="004F54CD" w:rsidRDefault="004F54CD" w:rsidP="004F54CD">
            <w:pPr>
              <w:spacing w:line="259" w:lineRule="auto"/>
              <w:ind w:right="69"/>
              <w:jc w:val="center"/>
            </w:pPr>
            <w:r>
              <w:t xml:space="preserve">ЗАТРАТЫ </w:t>
            </w:r>
          </w:p>
        </w:tc>
        <w:tc>
          <w:tcPr>
            <w:tcW w:w="1634" w:type="dxa"/>
            <w:tcBorders>
              <w:top w:val="single" w:sz="4" w:space="0" w:color="000000"/>
              <w:left w:val="single" w:sz="4" w:space="0" w:color="000000"/>
              <w:bottom w:val="single" w:sz="4" w:space="0" w:color="000000"/>
              <w:right w:val="nil"/>
            </w:tcBorders>
            <w:vAlign w:val="center"/>
          </w:tcPr>
          <w:p w:rsidR="004F54CD" w:rsidRPr="00242D95" w:rsidRDefault="004F54CD" w:rsidP="004F54CD">
            <w:pPr>
              <w:jc w:val="center"/>
            </w:pPr>
          </w:p>
        </w:tc>
        <w:tc>
          <w:tcPr>
            <w:tcW w:w="3440" w:type="dxa"/>
            <w:gridSpan w:val="2"/>
            <w:tcBorders>
              <w:top w:val="single" w:sz="4" w:space="0" w:color="000000"/>
              <w:left w:val="nil"/>
              <w:bottom w:val="single" w:sz="4" w:space="0" w:color="000000"/>
              <w:right w:val="nil"/>
            </w:tcBorders>
            <w:vAlign w:val="center"/>
          </w:tcPr>
          <w:p w:rsidR="004F54CD" w:rsidRPr="00242D95" w:rsidRDefault="004F54CD" w:rsidP="004F54CD">
            <w:pPr>
              <w:jc w:val="center"/>
            </w:pPr>
          </w:p>
        </w:tc>
        <w:tc>
          <w:tcPr>
            <w:tcW w:w="1718" w:type="dxa"/>
            <w:tcBorders>
              <w:top w:val="single" w:sz="4" w:space="0" w:color="000000"/>
              <w:left w:val="nil"/>
              <w:bottom w:val="single" w:sz="4" w:space="0" w:color="000000"/>
              <w:right w:val="single" w:sz="4" w:space="0" w:color="000000"/>
            </w:tcBorders>
            <w:vAlign w:val="center"/>
          </w:tcPr>
          <w:p w:rsidR="004F54CD" w:rsidRPr="00242D95" w:rsidRDefault="004F54CD" w:rsidP="004F54CD">
            <w:pPr>
              <w:jc w:val="center"/>
            </w:pPr>
          </w:p>
        </w:tc>
      </w:tr>
      <w:tr w:rsidR="004F54CD" w:rsidTr="004F54CD">
        <w:trPr>
          <w:trHeight w:val="1469"/>
        </w:trPr>
        <w:tc>
          <w:tcPr>
            <w:tcW w:w="2555" w:type="dxa"/>
            <w:tcBorders>
              <w:top w:val="single" w:sz="4" w:space="0" w:color="000000"/>
              <w:left w:val="single" w:sz="4" w:space="0" w:color="000000"/>
              <w:bottom w:val="single" w:sz="4" w:space="0" w:color="000000"/>
              <w:right w:val="single" w:sz="4" w:space="0" w:color="000000"/>
            </w:tcBorders>
          </w:tcPr>
          <w:p w:rsidR="004F54CD" w:rsidRDefault="004F54CD" w:rsidP="004F54CD">
            <w:pPr>
              <w:spacing w:line="269" w:lineRule="auto"/>
              <w:jc w:val="center"/>
            </w:pPr>
            <w:r>
              <w:t xml:space="preserve">Инвестиции в разработку </w:t>
            </w:r>
          </w:p>
          <w:p w:rsidR="004F54CD" w:rsidRDefault="004F54CD" w:rsidP="004F54CD">
            <w:pPr>
              <w:spacing w:line="259" w:lineRule="auto"/>
              <w:jc w:val="center"/>
            </w:pPr>
            <w:r>
              <w:t xml:space="preserve">программного средства </w:t>
            </w:r>
          </w:p>
        </w:tc>
        <w:tc>
          <w:tcPr>
            <w:tcW w:w="1634"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3 724,39</w:t>
            </w:r>
          </w:p>
        </w:tc>
        <w:tc>
          <w:tcPr>
            <w:tcW w:w="1719"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w:t>
            </w:r>
          </w:p>
        </w:tc>
        <w:tc>
          <w:tcPr>
            <w:tcW w:w="1721"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w:t>
            </w:r>
          </w:p>
        </w:tc>
        <w:tc>
          <w:tcPr>
            <w:tcW w:w="1718"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w:t>
            </w:r>
          </w:p>
        </w:tc>
      </w:tr>
      <w:tr w:rsidR="004F54CD" w:rsidTr="004F54CD">
        <w:trPr>
          <w:trHeight w:val="742"/>
        </w:trPr>
        <w:tc>
          <w:tcPr>
            <w:tcW w:w="2555" w:type="dxa"/>
            <w:tcBorders>
              <w:top w:val="single" w:sz="4" w:space="0" w:color="000000"/>
              <w:left w:val="single" w:sz="4" w:space="0" w:color="000000"/>
              <w:bottom w:val="single" w:sz="4" w:space="0" w:color="000000"/>
              <w:right w:val="single" w:sz="4" w:space="0" w:color="000000"/>
            </w:tcBorders>
          </w:tcPr>
          <w:p w:rsidR="004F54CD" w:rsidRDefault="004F54CD" w:rsidP="004F54CD">
            <w:pPr>
              <w:spacing w:line="259" w:lineRule="auto"/>
              <w:jc w:val="center"/>
            </w:pPr>
            <w:r>
              <w:t xml:space="preserve">Дисконтированные инвестиции </w:t>
            </w:r>
          </w:p>
        </w:tc>
        <w:tc>
          <w:tcPr>
            <w:tcW w:w="1634"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3 724,39</w:t>
            </w:r>
          </w:p>
        </w:tc>
        <w:tc>
          <w:tcPr>
            <w:tcW w:w="1719"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w:t>
            </w:r>
          </w:p>
        </w:tc>
        <w:tc>
          <w:tcPr>
            <w:tcW w:w="1721"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w:t>
            </w:r>
          </w:p>
        </w:tc>
        <w:tc>
          <w:tcPr>
            <w:tcW w:w="1718"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w:t>
            </w:r>
          </w:p>
        </w:tc>
      </w:tr>
      <w:tr w:rsidR="004F54CD" w:rsidTr="004F54CD">
        <w:trPr>
          <w:trHeight w:val="1105"/>
        </w:trPr>
        <w:tc>
          <w:tcPr>
            <w:tcW w:w="2555" w:type="dxa"/>
            <w:tcBorders>
              <w:top w:val="single" w:sz="4" w:space="0" w:color="000000"/>
              <w:left w:val="single" w:sz="4" w:space="0" w:color="000000"/>
              <w:bottom w:val="single" w:sz="4" w:space="0" w:color="000000"/>
              <w:right w:val="single" w:sz="4" w:space="0" w:color="000000"/>
            </w:tcBorders>
          </w:tcPr>
          <w:p w:rsidR="004F54CD" w:rsidRDefault="004F54CD" w:rsidP="004F54CD">
            <w:pPr>
              <w:spacing w:line="259" w:lineRule="auto"/>
              <w:ind w:firstLine="31"/>
              <w:jc w:val="center"/>
            </w:pPr>
            <w:r>
              <w:t xml:space="preserve">Чистый дисконтированный доход по годам </w:t>
            </w:r>
          </w:p>
        </w:tc>
        <w:tc>
          <w:tcPr>
            <w:tcW w:w="1634"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-3 724,39</w:t>
            </w:r>
          </w:p>
        </w:tc>
        <w:tc>
          <w:tcPr>
            <w:tcW w:w="1719"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11789,74</w:t>
            </w:r>
          </w:p>
        </w:tc>
        <w:tc>
          <w:tcPr>
            <w:tcW w:w="1721"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10717,95</w:t>
            </w:r>
          </w:p>
        </w:tc>
        <w:tc>
          <w:tcPr>
            <w:tcW w:w="1718"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9743,59</w:t>
            </w:r>
          </w:p>
        </w:tc>
      </w:tr>
      <w:tr w:rsidR="004F54CD" w:rsidTr="004F54CD">
        <w:trPr>
          <w:trHeight w:val="1831"/>
        </w:trPr>
        <w:tc>
          <w:tcPr>
            <w:tcW w:w="2555" w:type="dxa"/>
            <w:tcBorders>
              <w:top w:val="single" w:sz="4" w:space="0" w:color="000000"/>
              <w:left w:val="single" w:sz="4" w:space="0" w:color="000000"/>
              <w:bottom w:val="single" w:sz="4" w:space="0" w:color="000000"/>
              <w:right w:val="single" w:sz="4" w:space="0" w:color="000000"/>
            </w:tcBorders>
          </w:tcPr>
          <w:p w:rsidR="004F54CD" w:rsidRDefault="004F54CD" w:rsidP="004F54CD">
            <w:pPr>
              <w:spacing w:line="268" w:lineRule="auto"/>
              <w:jc w:val="center"/>
            </w:pPr>
            <w:r>
              <w:t xml:space="preserve">Чистый дисконтированный доход </w:t>
            </w:r>
          </w:p>
          <w:p w:rsidR="004F54CD" w:rsidRDefault="004F54CD" w:rsidP="004F54CD">
            <w:pPr>
              <w:spacing w:line="259" w:lineRule="auto"/>
              <w:jc w:val="center"/>
            </w:pPr>
            <w:r>
              <w:t xml:space="preserve">нарастающим итогом </w:t>
            </w:r>
          </w:p>
        </w:tc>
        <w:tc>
          <w:tcPr>
            <w:tcW w:w="1634"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-3 724,39</w:t>
            </w:r>
          </w:p>
        </w:tc>
        <w:tc>
          <w:tcPr>
            <w:tcW w:w="1719"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8 065,36</w:t>
            </w:r>
          </w:p>
        </w:tc>
        <w:tc>
          <w:tcPr>
            <w:tcW w:w="1721"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18 783,30</w:t>
            </w:r>
          </w:p>
        </w:tc>
        <w:tc>
          <w:tcPr>
            <w:tcW w:w="1718" w:type="dxa"/>
            <w:tcBorders>
              <w:top w:val="single" w:sz="4" w:space="0" w:color="000000"/>
              <w:left w:val="single" w:sz="4" w:space="0" w:color="000000"/>
              <w:bottom w:val="single" w:sz="4" w:space="0" w:color="000000"/>
              <w:right w:val="single" w:sz="4" w:space="0" w:color="000000"/>
            </w:tcBorders>
            <w:vAlign w:val="center"/>
          </w:tcPr>
          <w:p w:rsidR="004F54CD" w:rsidRPr="00242D95" w:rsidRDefault="004F54CD" w:rsidP="004F54CD">
            <w:pPr>
              <w:jc w:val="center"/>
            </w:pPr>
            <w:r w:rsidRPr="00242D95">
              <w:t>28 526,89</w:t>
            </w:r>
          </w:p>
        </w:tc>
      </w:tr>
      <w:tr w:rsidR="004F54CD" w:rsidTr="004F54CD">
        <w:trPr>
          <w:trHeight w:val="742"/>
        </w:trPr>
        <w:tc>
          <w:tcPr>
            <w:tcW w:w="2555" w:type="dxa"/>
            <w:tcBorders>
              <w:top w:val="single" w:sz="4" w:space="0" w:color="000000"/>
              <w:left w:val="single" w:sz="4" w:space="0" w:color="000000"/>
              <w:bottom w:val="single" w:sz="4" w:space="0" w:color="000000"/>
              <w:right w:val="single" w:sz="4" w:space="0" w:color="000000"/>
            </w:tcBorders>
          </w:tcPr>
          <w:p w:rsidR="004F54CD" w:rsidRDefault="004F54CD" w:rsidP="004F54CD">
            <w:pPr>
              <w:spacing w:line="259" w:lineRule="auto"/>
              <w:jc w:val="center"/>
            </w:pPr>
            <w:r>
              <w:t xml:space="preserve">Коэффициент дисконтирования </w:t>
            </w:r>
          </w:p>
        </w:tc>
        <w:tc>
          <w:tcPr>
            <w:tcW w:w="1634" w:type="dxa"/>
            <w:tcBorders>
              <w:top w:val="nil"/>
              <w:left w:val="nil"/>
              <w:bottom w:val="single" w:sz="8" w:space="0" w:color="000000"/>
              <w:right w:val="single" w:sz="8" w:space="0" w:color="000000"/>
            </w:tcBorders>
            <w:shd w:val="clear" w:color="auto" w:fill="auto"/>
            <w:vAlign w:val="center"/>
          </w:tcPr>
          <w:p w:rsidR="004F54CD" w:rsidRPr="008B29B0" w:rsidRDefault="004F54CD" w:rsidP="004F54CD">
            <w:pPr>
              <w:jc w:val="center"/>
            </w:pPr>
            <w:r w:rsidRPr="008B29B0">
              <w:t>1</w:t>
            </w:r>
          </w:p>
        </w:tc>
        <w:tc>
          <w:tcPr>
            <w:tcW w:w="1719" w:type="dxa"/>
            <w:tcBorders>
              <w:top w:val="nil"/>
              <w:left w:val="nil"/>
              <w:bottom w:val="single" w:sz="8" w:space="0" w:color="000000"/>
              <w:right w:val="single" w:sz="8" w:space="0" w:color="000000"/>
            </w:tcBorders>
            <w:shd w:val="clear" w:color="auto" w:fill="auto"/>
            <w:vAlign w:val="center"/>
          </w:tcPr>
          <w:p w:rsidR="004F54CD" w:rsidRPr="008B29B0" w:rsidRDefault="004F54CD" w:rsidP="004F54CD">
            <w:pPr>
              <w:jc w:val="center"/>
            </w:pPr>
            <w:r w:rsidRPr="008B29B0">
              <w:t>0,909</w:t>
            </w:r>
          </w:p>
        </w:tc>
        <w:tc>
          <w:tcPr>
            <w:tcW w:w="1721" w:type="dxa"/>
            <w:tcBorders>
              <w:top w:val="nil"/>
              <w:left w:val="nil"/>
              <w:bottom w:val="single" w:sz="8" w:space="0" w:color="000000"/>
              <w:right w:val="single" w:sz="8" w:space="0" w:color="000000"/>
            </w:tcBorders>
            <w:shd w:val="clear" w:color="auto" w:fill="auto"/>
            <w:vAlign w:val="center"/>
          </w:tcPr>
          <w:p w:rsidR="004F54CD" w:rsidRPr="008B29B0" w:rsidRDefault="004F54CD" w:rsidP="004F54CD">
            <w:pPr>
              <w:jc w:val="center"/>
            </w:pPr>
            <w:r w:rsidRPr="008B29B0">
              <w:t>0,826</w:t>
            </w:r>
          </w:p>
        </w:tc>
        <w:tc>
          <w:tcPr>
            <w:tcW w:w="1718" w:type="dxa"/>
            <w:tcBorders>
              <w:top w:val="nil"/>
              <w:left w:val="nil"/>
              <w:bottom w:val="single" w:sz="8" w:space="0" w:color="000000"/>
              <w:right w:val="single" w:sz="8" w:space="0" w:color="000000"/>
            </w:tcBorders>
            <w:shd w:val="clear" w:color="auto" w:fill="auto"/>
            <w:vAlign w:val="center"/>
          </w:tcPr>
          <w:p w:rsidR="004F54CD" w:rsidRDefault="004F54CD" w:rsidP="004F54CD">
            <w:pPr>
              <w:jc w:val="center"/>
            </w:pPr>
            <w:r w:rsidRPr="008B29B0">
              <w:t>0,751</w:t>
            </w:r>
          </w:p>
        </w:tc>
      </w:tr>
    </w:tbl>
    <w:p w:rsidR="00787CBE"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807F6B"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32251,28</m:t>
              </m:r>
            </m:num>
            <m:den>
              <m:r>
                <w:rPr>
                  <w:rFonts w:ascii="Cambria Math" w:hAnsi="Cambria Math"/>
                </w:rPr>
                <m:t>3724,39</m:t>
              </m:r>
            </m:den>
          </m:f>
          <m:r>
            <w:rPr>
              <w:rFonts w:ascii="Cambria Math" w:hAnsi="Cambria Math"/>
            </w:rPr>
            <m:t>∙100%=865,95%</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6" w:name="_Toc8247198"/>
      <w:r>
        <w:rPr>
          <w:rFonts w:eastAsia="Times New Roman" w:cs="Times New Roman"/>
        </w:rPr>
        <w:t>Выводы по технико-экономическому обоснованию</w:t>
      </w:r>
      <w:bookmarkEnd w:id="86"/>
      <w:r>
        <w:t xml:space="preserve"> </w:t>
      </w:r>
    </w:p>
    <w:p w:rsidR="00310659" w:rsidRPr="00310659" w:rsidRDefault="00310659" w:rsidP="00310659"/>
    <w:p w:rsidR="003E47A8" w:rsidRDefault="00BC7EA5" w:rsidP="003E47A8">
      <w:pPr>
        <w:ind w:firstLine="709"/>
      </w:pPr>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3E47A8" w:rsidRDefault="003E47A8" w:rsidP="00BC7EA5">
      <w:pPr>
        <w:pStyle w:val="aff1"/>
        <w:numPr>
          <w:ilvl w:val="0"/>
          <w:numId w:val="23"/>
        </w:numPr>
        <w:ind w:left="0" w:firstLine="709"/>
      </w:pPr>
      <w:r>
        <w:t xml:space="preserve">Чистый </w:t>
      </w:r>
      <w:proofErr w:type="spellStart"/>
      <w:r>
        <w:t>дисонтированный</w:t>
      </w:r>
      <w:proofErr w:type="spellEnd"/>
      <w:r>
        <w:t xml:space="preserve"> доход за четыре года работы программы составит </w:t>
      </w:r>
      <w:r w:rsidR="00EF6040">
        <w:t>28</w:t>
      </w:r>
      <w:r w:rsidRPr="000650F9">
        <w:t xml:space="preserve"> </w:t>
      </w:r>
      <w:r w:rsidR="00EF6040">
        <w:t>526</w:t>
      </w:r>
      <w:r w:rsidRPr="000650F9">
        <w:t>,</w:t>
      </w:r>
      <w:r w:rsidR="00EF6040">
        <w:t>89</w:t>
      </w:r>
      <w:r>
        <w:t xml:space="preserve"> руб.</w:t>
      </w:r>
    </w:p>
    <w:p w:rsidR="00BC7EA5" w:rsidRDefault="00BC7EA5" w:rsidP="00BC7EA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00EF6040">
        <w:rPr>
          <w:rFonts w:ascii="Cambria Math" w:eastAsia="Cambria Math" w:hAnsi="Cambria Math" w:cs="Cambria Math"/>
        </w:rPr>
        <w:t>12968</w:t>
      </w:r>
      <w:r w:rsidRPr="00BC7EA5">
        <w:rPr>
          <w:rFonts w:ascii="Cambria Math" w:eastAsia="Cambria Math" w:hAnsi="Cambria Math" w:cs="Cambria Math"/>
        </w:rPr>
        <w:t>,</w:t>
      </w:r>
      <w:r w:rsidR="00EF6040">
        <w:rPr>
          <w:rFonts w:ascii="Cambria Math" w:eastAsia="Cambria Math" w:hAnsi="Cambria Math" w:cs="Cambria Math"/>
        </w:rPr>
        <w:t>72</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D62CAC" w:rsidRPr="00D62CAC" w:rsidRDefault="00BC7EA5" w:rsidP="003E47A8">
      <w:pPr>
        <w:pStyle w:val="aff1"/>
        <w:numPr>
          <w:ilvl w:val="0"/>
          <w:numId w:val="23"/>
        </w:numPr>
        <w:ind w:left="0" w:firstLine="709"/>
      </w:pPr>
      <w:r>
        <w:t xml:space="preserve">Продукт является экономически выгодным, так как он окупается чуть менее, чем за два года, а рентабельность составляет </w:t>
      </w:r>
      <w:r w:rsidR="00EF6040">
        <w:rPr>
          <w:rFonts w:ascii="Cambria Math" w:eastAsia="Cambria Math" w:hAnsi="Cambria Math" w:cs="Cambria Math"/>
        </w:rPr>
        <w:t>865</w:t>
      </w:r>
      <w:r w:rsidRPr="00BC7EA5">
        <w:rPr>
          <w:rFonts w:ascii="Cambria Math" w:eastAsia="Cambria Math" w:hAnsi="Cambria Math" w:cs="Cambria Math"/>
        </w:rPr>
        <w:t>,</w:t>
      </w:r>
      <w:r w:rsidR="00EF6040">
        <w:rPr>
          <w:rFonts w:ascii="Cambria Math" w:eastAsia="Cambria Math" w:hAnsi="Cambria Math" w:cs="Cambria Math"/>
        </w:rPr>
        <w:t>95</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bookmarkStart w:id="87" w:name="_Toc8247199"/>
      <w:r>
        <w:lastRenderedPageBreak/>
        <w:t>ЗАКЛЮЧЕНИЕ</w:t>
      </w:r>
      <w:bookmarkEnd w:id="87"/>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8" w:name="_Toc511318639"/>
      <w:bookmarkStart w:id="89" w:name="_Toc514323722"/>
      <w:bookmarkStart w:id="90" w:name="_Toc8247200"/>
      <w:r>
        <w:lastRenderedPageBreak/>
        <w:t>СПИСОК ИСПОЛЬЗОВАННЫХ ИСТОЧНИКОВ</w:t>
      </w:r>
      <w:bookmarkEnd w:id="88"/>
      <w:bookmarkEnd w:id="89"/>
      <w:bookmarkEnd w:id="90"/>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1" w:name="_Toc8247201"/>
      <w:r w:rsidRPr="004C6509">
        <w:lastRenderedPageBreak/>
        <w:t>ПРИЛОЖЕНИЕ А. ЛИСТИНГ ПРОГРАММНОГО КОДА</w:t>
      </w:r>
      <w:bookmarkEnd w:id="91"/>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7"/>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proofErr w:type="spellStart"/>
            <w:r>
              <w:rPr>
                <w:b/>
                <w:i/>
                <w:sz w:val="20"/>
                <w:szCs w:val="20"/>
              </w:rPr>
              <w:t>Авхимович</w:t>
            </w:r>
            <w:proofErr w:type="spellEnd"/>
            <w:r>
              <w:rPr>
                <w:b/>
                <w:i/>
                <w:sz w:val="20"/>
                <w:szCs w:val="20"/>
              </w:rPr>
              <w:t xml:space="preserve">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F6B" w:rsidRDefault="00807F6B" w:rsidP="0064602A">
      <w:r>
        <w:separator/>
      </w:r>
    </w:p>
  </w:endnote>
  <w:endnote w:type="continuationSeparator" w:id="0">
    <w:p w:rsidR="00807F6B" w:rsidRDefault="00807F6B"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65C" w:rsidRPr="006C59A1" w:rsidRDefault="00BF365C"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BF365C" w:rsidRPr="006C59A1" w:rsidRDefault="00BF365C"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65C" w:rsidRPr="006C59A1" w:rsidRDefault="00BF365C"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F6B" w:rsidRDefault="00807F6B" w:rsidP="0064602A">
      <w:r>
        <w:separator/>
      </w:r>
    </w:p>
  </w:footnote>
  <w:footnote w:type="continuationSeparator" w:id="0">
    <w:p w:rsidR="00807F6B" w:rsidRDefault="00807F6B"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6"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7"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2"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2"/>
  </w:num>
  <w:num w:numId="4">
    <w:abstractNumId w:val="15"/>
  </w:num>
  <w:num w:numId="5">
    <w:abstractNumId w:val="4"/>
  </w:num>
  <w:num w:numId="6">
    <w:abstractNumId w:val="3"/>
  </w:num>
  <w:num w:numId="7">
    <w:abstractNumId w:val="16"/>
  </w:num>
  <w:num w:numId="8">
    <w:abstractNumId w:val="9"/>
  </w:num>
  <w:num w:numId="9">
    <w:abstractNumId w:val="11"/>
  </w:num>
  <w:num w:numId="10">
    <w:abstractNumId w:val="21"/>
  </w:num>
  <w:num w:numId="11">
    <w:abstractNumId w:val="1"/>
  </w:num>
  <w:num w:numId="12">
    <w:abstractNumId w:val="2"/>
  </w:num>
  <w:num w:numId="13">
    <w:abstractNumId w:val="18"/>
  </w:num>
  <w:num w:numId="14">
    <w:abstractNumId w:val="0"/>
  </w:num>
  <w:num w:numId="15">
    <w:abstractNumId w:val="10"/>
    <w:lvlOverride w:ilvl="0">
      <w:lvl w:ilvl="0" w:tplc="92CC2AA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81252E0">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2985B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FCAC762">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E202428">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8EE9992">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6D04D0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508B71C">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DC5B18">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2"/>
  </w:num>
  <w:num w:numId="18">
    <w:abstractNumId w:val="20"/>
  </w:num>
  <w:num w:numId="19">
    <w:abstractNumId w:val="17"/>
  </w:num>
  <w:num w:numId="20">
    <w:abstractNumId w:val="5"/>
  </w:num>
  <w:num w:numId="21">
    <w:abstractNumId w:val="6"/>
  </w:num>
  <w:num w:numId="22">
    <w:abstractNumId w:val="8"/>
  </w:num>
  <w:num w:numId="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F9030-875E-426A-977B-DC9A0F54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15332</TotalTime>
  <Pages>43</Pages>
  <Words>8377</Words>
  <Characters>47751</Characters>
  <Application>Microsoft Office Word</Application>
  <DocSecurity>0</DocSecurity>
  <Lines>397</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2594</cp:revision>
  <cp:lastPrinted>2018-05-21T07:44:00Z</cp:lastPrinted>
  <dcterms:created xsi:type="dcterms:W3CDTF">2013-04-12T04:10:00Z</dcterms:created>
  <dcterms:modified xsi:type="dcterms:W3CDTF">2019-05-08T19:32:00Z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