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377DAB">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377DAB">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377DAB">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377DAB">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377DAB">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377DAB">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377DAB">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377DAB">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377DAB">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377DAB">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377DAB">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0" w:name="OLE_LINK3"/>
      <w:bookmarkStart w:id="11" w:name="OLE_LINK4"/>
      <w:r w:rsidRPr="00617431">
        <w:rPr>
          <w:color w:val="000000" w:themeColor="text1"/>
          <w:szCs w:val="28"/>
        </w:rPr>
        <w:t>Intermech АРМ материального нормирования</w:t>
      </w:r>
      <w:bookmarkEnd w:id="10"/>
      <w:bookmarkEnd w:id="11"/>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8247187"/>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8247188"/>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4" w:name="_Toc8247189"/>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8247190"/>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Pr="008875F1">
        <w:t xml:space="preserve"> </w:t>
      </w:r>
      <w:proofErr w:type="gramStart"/>
      <w:r w:rsidRPr="008875F1">
        <w:t>по</w:t>
      </w:r>
      <w:r w:rsidR="00A66D7D">
        <w:t xml:space="preserve"> </w:t>
      </w:r>
      <w:r w:rsidR="00CC6D49">
        <w:t>графику</w:t>
      </w:r>
      <w:proofErr w:type="gramEnd"/>
      <w:r w:rsidR="00CC6D49">
        <w:t xml:space="preserve">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7" w:name="_Toc8247191"/>
      <w:r w:rsidRPr="00925D3B">
        <w:rPr>
          <w:rFonts w:eastAsia="Times New Roman" w:cs="Times New Roman"/>
        </w:rPr>
        <w:t>Расчет затрат на разработку ПО</w:t>
      </w:r>
      <w:bookmarkEnd w:id="77"/>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8" w:name="_Toc8247192"/>
      <w:r w:rsidRPr="00925D3B">
        <w:rPr>
          <w:rFonts w:eastAsia="Times New Roman" w:cs="Times New Roman"/>
          <w:b/>
          <w:sz w:val="29"/>
        </w:rPr>
        <w:t>Расчет затрат на основную заработную плату разработчиков</w:t>
      </w:r>
      <w:bookmarkEnd w:id="78"/>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710728" w:rsidP="00925D3B">
            <w:pPr>
              <w:spacing w:line="259" w:lineRule="auto"/>
              <w:ind w:right="113"/>
              <w:jc w:val="center"/>
            </w:pPr>
            <w:r>
              <w:t>120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right="115"/>
              <w:jc w:val="center"/>
            </w:pPr>
            <w:r w:rsidRPr="004F54CD">
              <w:t>821,43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left="122"/>
              <w:jc w:val="center"/>
            </w:pPr>
            <w:r w:rsidRPr="004F54CD">
              <w:rPr>
                <w:sz w:val="29"/>
              </w:rPr>
              <w:t>1 232,14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79"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79"/>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377DAB"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1232,14*20</m:t>
              </m:r>
            </m:num>
            <m:den>
              <m:r>
                <w:rPr>
                  <w:rFonts w:ascii="Cambria Math" w:hAnsi="Cambria Math"/>
                </w:rPr>
                <m:t>100</m:t>
              </m:r>
            </m:den>
          </m:f>
          <m:r>
            <w:rPr>
              <w:rFonts w:ascii="Cambria Math" w:hAnsi="Cambria Math"/>
            </w:rPr>
            <m:t>=184,82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0" w:name="_Toc8247194"/>
      <w:r w:rsidRPr="00925D3B">
        <w:rPr>
          <w:b/>
        </w:rPr>
        <w:t>Расчет затрат на социальные нужды</w:t>
      </w:r>
      <w:bookmarkEnd w:id="80"/>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377DAB"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1232,14+184,82</m:t>
                  </m:r>
                </m:e>
              </m:d>
              <m:r>
                <w:rPr>
                  <w:rFonts w:ascii="Cambria Math" w:hAnsi="Cambria Math"/>
                </w:rPr>
                <m:t>*34,6</m:t>
              </m:r>
            </m:num>
            <m:den>
              <m:r>
                <w:rPr>
                  <w:rFonts w:ascii="Cambria Math" w:hAnsi="Cambria Math"/>
                </w:rPr>
                <m:t>100</m:t>
              </m:r>
            </m:den>
          </m:f>
          <m:r>
            <w:rPr>
              <w:rFonts w:ascii="Cambria Math" w:hAnsi="Cambria Math"/>
            </w:rPr>
            <m:t>=490,27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5"/>
      <w:r w:rsidRPr="00925D3B">
        <w:rPr>
          <w:b/>
        </w:rPr>
        <w:t>Расчет прочих затрат</w:t>
      </w:r>
      <w:bookmarkEnd w:id="81"/>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377DAB"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1478,57∙120</m:t>
              </m:r>
            </m:num>
            <m:den>
              <m:r>
                <w:rPr>
                  <w:rFonts w:ascii="Cambria Math" w:hAnsi="Cambria Math"/>
                </w:rPr>
                <m:t>100</m:t>
              </m:r>
            </m:den>
          </m:f>
          <m:r>
            <w:rPr>
              <w:rFonts w:ascii="Cambria Math" w:hAnsi="Cambria Math"/>
            </w:rPr>
            <m:t>=1478,57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1 232,14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184,82</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490,27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1 478,57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4F54CD" w:rsidP="004F54CD">
            <w:pPr>
              <w:jc w:val="center"/>
            </w:pPr>
            <w:r w:rsidRPr="005F27A7">
              <w:t>3 385,81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2" w:name="_Toc8247196"/>
      <w:r>
        <w:rPr>
          <w:rFonts w:eastAsia="Times New Roman" w:cs="Times New Roman"/>
        </w:rPr>
        <w:t>Оценка результата от продажи ПО. Расчет экономического эффекта.</w:t>
      </w:r>
      <w:bookmarkEnd w:id="82"/>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377DAB"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3385,81∙10</m:t>
              </m:r>
            </m:num>
            <m:den>
              <m:r>
                <w:rPr>
                  <w:rFonts w:ascii="Cambria Math" w:hAnsi="Cambria Math"/>
                </w:rPr>
                <m:t>100</m:t>
              </m:r>
            </m:den>
          </m:f>
          <m:r>
            <w:rPr>
              <w:rFonts w:ascii="Cambria Math" w:hAnsi="Cambria Math"/>
            </w:rPr>
            <m:t>=338,58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3385</w:t>
      </w:r>
      <w:r w:rsidR="001964C4">
        <w:rPr>
          <w:rFonts w:ascii="Cambria Math" w:eastAsia="Cambria Math" w:hAnsi="Cambria Math" w:cs="Cambria Math"/>
          <w:sz w:val="29"/>
        </w:rPr>
        <w:t>,</w:t>
      </w:r>
      <w:r w:rsidR="004F54CD">
        <w:rPr>
          <w:rFonts w:ascii="Cambria Math" w:eastAsia="Cambria Math" w:hAnsi="Cambria Math" w:cs="Cambria Math"/>
          <w:sz w:val="29"/>
        </w:rPr>
        <w:t>81</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w:t>
      </w:r>
      <w:r>
        <w:rPr>
          <w:rFonts w:ascii="Cambria Math" w:eastAsia="Cambria Math" w:hAnsi="Cambria Math" w:cs="Cambria Math"/>
          <w:sz w:val="29"/>
        </w:rPr>
        <w:t>,</w:t>
      </w:r>
      <w:r w:rsidR="004F54CD">
        <w:rPr>
          <w:rFonts w:ascii="Cambria Math" w:eastAsia="Cambria Math" w:hAnsi="Cambria Math" w:cs="Cambria Math"/>
          <w:sz w:val="29"/>
        </w:rPr>
        <w:t>58</w:t>
      </w:r>
      <w:r>
        <w:rPr>
          <w:rFonts w:ascii="Cambria Math" w:eastAsia="Cambria Math" w:hAnsi="Cambria Math" w:cs="Cambria Math"/>
          <w:sz w:val="29"/>
        </w:rPr>
        <w:t xml:space="preserve"> = </w:t>
      </w:r>
      <w:r w:rsidR="004F54CD">
        <w:rPr>
          <w:rFonts w:ascii="Cambria Math" w:eastAsia="Cambria Math" w:hAnsi="Cambria Math" w:cs="Cambria Math"/>
          <w:sz w:val="29"/>
        </w:rPr>
        <w:t>3724</w:t>
      </w:r>
      <w:r>
        <w:rPr>
          <w:rFonts w:ascii="Cambria Math" w:eastAsia="Cambria Math" w:hAnsi="Cambria Math" w:cs="Cambria Math"/>
          <w:sz w:val="29"/>
        </w:rPr>
        <w:t>,</w:t>
      </w:r>
      <w:r w:rsidR="004F54CD">
        <w:rPr>
          <w:rFonts w:ascii="Cambria Math" w:eastAsia="Cambria Math" w:hAnsi="Cambria Math" w:cs="Cambria Math"/>
          <w:sz w:val="29"/>
        </w:rPr>
        <w:t>39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w:t>
      </w:r>
      <w:r w:rsidR="00377DAB">
        <w:lastRenderedPageBreak/>
        <w:t>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мы выбрали в</w:t>
      </w:r>
      <w:r w:rsidR="00D955C5">
        <w:t>ременн</w:t>
      </w:r>
      <w:r w:rsidR="00D955C5">
        <w:t>ую</w:t>
      </w:r>
      <w:r w:rsidR="00D955C5">
        <w:t xml:space="preserve"> лицензи</w:t>
      </w:r>
      <w:r w:rsidR="00D955C5">
        <w:t>ю</w:t>
      </w:r>
      <w:r w:rsidR="00D955C5">
        <w:t xml:space="preserve"> (подписк</w:t>
      </w:r>
      <w:r w:rsidR="00D955C5">
        <w:t>у</w:t>
      </w:r>
      <w:r w:rsidR="00D955C5">
        <w:t>)</w:t>
      </w:r>
      <w:r w:rsidR="00D955C5">
        <w:t xml:space="preserve">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377DAB"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3724,39</m:t>
              </m:r>
            </m:num>
            <m:den>
              <m:r>
                <w:rPr>
                  <w:rFonts w:ascii="Cambria Math" w:hAnsi="Cambria Math"/>
                </w:rPr>
                <m:t>100</m:t>
              </m:r>
            </m:den>
          </m:f>
          <m:r>
            <w:rPr>
              <w:rFonts w:ascii="Cambria Math" w:hAnsi="Cambria Math"/>
            </w:rPr>
            <m:t>=162,11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4F54CD">
        <w:rPr>
          <w:rFonts w:ascii="Cambria Math" w:eastAsia="Cambria Math" w:hAnsi="Cambria Math" w:cs="Cambria Math"/>
          <w:sz w:val="29"/>
        </w:rPr>
        <w:t>2</w:t>
      </w:r>
      <w:r w:rsidR="00F11FBF">
        <w:rPr>
          <w:rFonts w:ascii="Cambria Math" w:eastAsia="Cambria Math" w:hAnsi="Cambria Math" w:cs="Cambria Math"/>
          <w:sz w:val="29"/>
        </w:rPr>
        <w:t>,</w:t>
      </w:r>
      <w:r w:rsidR="004F54CD">
        <w:rPr>
          <w:rFonts w:ascii="Cambria Math" w:eastAsia="Cambria Math" w:hAnsi="Cambria Math" w:cs="Cambria Math"/>
          <w:sz w:val="29"/>
        </w:rPr>
        <w:t>11</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4F54CD">
        <w:rPr>
          <w:rFonts w:ascii="Cambria Math" w:eastAsia="Cambria Math" w:hAnsi="Cambria Math" w:cs="Cambria Math"/>
          <w:sz w:val="29"/>
        </w:rPr>
        <w:t>210</w:t>
      </w:r>
      <w:r w:rsidR="00F11FBF">
        <w:rPr>
          <w:rFonts w:ascii="Cambria Math" w:eastAsia="Cambria Math" w:hAnsi="Cambria Math" w:cs="Cambria Math"/>
          <w:sz w:val="29"/>
        </w:rPr>
        <w:t>,</w:t>
      </w:r>
      <w:r w:rsidR="004F54CD">
        <w:rPr>
          <w:rFonts w:ascii="Cambria Math" w:eastAsia="Cambria Math" w:hAnsi="Cambria Math" w:cs="Cambria Math"/>
          <w:sz w:val="29"/>
        </w:rPr>
        <w:t>89</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ЧП=16210,89-</m:t>
          </m:r>
          <m:f>
            <m:fPr>
              <m:ctrlPr>
                <w:rPr>
                  <w:rFonts w:ascii="Cambria Math" w:hAnsi="Cambria Math"/>
                  <w:i/>
                </w:rPr>
              </m:ctrlPr>
            </m:fPr>
            <m:num>
              <m:r>
                <w:rPr>
                  <w:rFonts w:ascii="Cambria Math" w:hAnsi="Cambria Math"/>
                </w:rPr>
                <m:t>16210,89*</m:t>
              </m:r>
              <m:r>
                <w:rPr>
                  <w:rFonts w:ascii="Cambria Math" w:hAnsi="Cambria Math"/>
                </w:rPr>
                <m:t>18</m:t>
              </m:r>
            </m:num>
            <m:den>
              <m:r>
                <w:rPr>
                  <w:rFonts w:ascii="Cambria Math" w:hAnsi="Cambria Math"/>
                </w:rPr>
                <m:t>100</m:t>
              </m:r>
            </m:den>
          </m:f>
          <m:r>
            <w:rPr>
              <w:rFonts w:ascii="Cambria Math" w:hAnsi="Cambria Math"/>
            </w:rPr>
            <m:t>=</m:t>
          </m:r>
          <m:r>
            <w:rPr>
              <w:rFonts w:ascii="Cambria Math" w:eastAsiaTheme="minorEastAsia" w:hAnsi="Cambria Math"/>
            </w:rPr>
            <m:t>1</m:t>
          </m:r>
          <m:r>
            <w:rPr>
              <w:rFonts w:ascii="Cambria Math" w:eastAsiaTheme="minorEastAsia" w:hAnsi="Cambria Math"/>
            </w:rPr>
            <m:t>3292</m:t>
          </m:r>
          <m:r>
            <w:rPr>
              <w:rFonts w:ascii="Cambria Math" w:eastAsiaTheme="minorEastAsia" w:hAnsi="Cambria Math"/>
            </w:rPr>
            <m:t>,</m:t>
          </m:r>
          <m:r>
            <w:rPr>
              <w:rFonts w:ascii="Cambria Math" w:eastAsiaTheme="minorEastAsia" w:hAnsi="Cambria Math"/>
            </w:rPr>
            <m:t>93</m:t>
          </m:r>
          <m:r>
            <w:rPr>
              <w:rFonts w:ascii="Cambria Math" w:eastAsiaTheme="minorEastAsia" w:hAnsi="Cambria Math"/>
            </w:rPr>
            <m:t xml:space="preserve"> руб.</m:t>
          </m:r>
        </m:oMath>
      </m:oMathPara>
    </w:p>
    <w:p w:rsidR="00787CBE" w:rsidRDefault="00787CBE" w:rsidP="00787CBE">
      <w:pPr>
        <w:pStyle w:val="2"/>
        <w:numPr>
          <w:ilvl w:val="1"/>
          <w:numId w:val="7"/>
        </w:numPr>
        <w:spacing w:after="295"/>
        <w:ind w:right="695"/>
      </w:pPr>
      <w:bookmarkStart w:id="83" w:name="_Toc8247197"/>
      <w:r>
        <w:rPr>
          <w:rFonts w:eastAsia="Times New Roman" w:cs="Times New Roman"/>
        </w:rPr>
        <w:t>Расчет показателей эффективности инвестиций в разработку ПО</w:t>
      </w:r>
      <w:bookmarkEnd w:id="83"/>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lastRenderedPageBreak/>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r w:rsidRPr="00AE3102">
              <w:t>13292,93</w:t>
            </w: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r w:rsidRPr="00AE3102">
              <w:t>13292,93</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p>
        </w:tc>
      </w:tr>
      <w:tr w:rsidR="00716815" w:rsidRPr="006F39D0" w:rsidTr="00B849CC">
        <w:trPr>
          <w:trHeight w:val="15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Инвестиции в разработку программного средства</w:t>
            </w:r>
          </w:p>
        </w:tc>
        <w:tc>
          <w:tcPr>
            <w:tcW w:w="2941" w:type="dxa"/>
            <w:tcBorders>
              <w:top w:val="nil"/>
              <w:left w:val="nil"/>
              <w:bottom w:val="single" w:sz="4" w:space="0" w:color="auto"/>
              <w:right w:val="single" w:sz="4" w:space="0" w:color="auto"/>
            </w:tcBorders>
            <w:shd w:val="clear" w:color="auto" w:fill="auto"/>
            <w:vAlign w:val="center"/>
            <w:hideMark/>
          </w:tcPr>
          <w:p w:rsidR="00716815" w:rsidRPr="00AE3102" w:rsidRDefault="00716815" w:rsidP="00B849CC">
            <w:pPr>
              <w:jc w:val="center"/>
            </w:pPr>
            <w:r w:rsidRPr="00AE3102">
              <w:t>3 724,39</w:t>
            </w:r>
          </w:p>
        </w:tc>
      </w:tr>
      <w:tr w:rsidR="00716815" w:rsidRPr="006F39D0" w:rsidTr="00B849CC">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3 724,39</w:t>
            </w:r>
          </w:p>
        </w:tc>
      </w:tr>
      <w:tr w:rsidR="00716815"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9 568,55</w:t>
            </w:r>
          </w:p>
        </w:tc>
      </w:tr>
      <w:tr w:rsidR="00716815" w:rsidRPr="006F39D0" w:rsidTr="00B849CC">
        <w:trPr>
          <w:trHeight w:val="1125"/>
        </w:trPr>
        <w:tc>
          <w:tcPr>
            <w:tcW w:w="2554" w:type="dxa"/>
            <w:tcBorders>
              <w:top w:val="nil"/>
              <w:left w:val="single" w:sz="8" w:space="0" w:color="000000"/>
              <w:bottom w:val="nil"/>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w:t>
            </w:r>
          </w:p>
        </w:tc>
        <w:tc>
          <w:tcPr>
            <w:tcW w:w="294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5 844,16</w:t>
            </w:r>
          </w:p>
          <w:p w:rsidR="00716815" w:rsidRPr="00AE3102" w:rsidRDefault="00716815" w:rsidP="00B849CC">
            <w:pPr>
              <w:jc w:val="center"/>
            </w:pP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нарастающим итогом</w:t>
            </w:r>
          </w:p>
        </w:tc>
        <w:tc>
          <w:tcPr>
            <w:tcW w:w="2941" w:type="dxa"/>
            <w:vMerge/>
            <w:tcBorders>
              <w:top w:val="nil"/>
              <w:left w:val="single" w:sz="8" w:space="0" w:color="000000"/>
              <w:bottom w:val="single" w:sz="8" w:space="0" w:color="000000"/>
              <w:right w:val="single" w:sz="8" w:space="0" w:color="000000"/>
            </w:tcBorders>
            <w:vAlign w:val="center"/>
            <w:hideMark/>
          </w:tcPr>
          <w:p w:rsidR="00716815" w:rsidRPr="006F39D0" w:rsidRDefault="00716815" w:rsidP="00B849CC">
            <w:pPr>
              <w:jc w:val="center"/>
              <w:rPr>
                <w:rFonts w:eastAsia="Times New Roman" w:cs="Times New Roman"/>
                <w:color w:val="000000"/>
                <w:sz w:val="24"/>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nil"/>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bookmarkStart w:id="84" w:name="_GoBack"/>
        <w:bookmarkEnd w:id="84"/>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377DAB"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9568</m:t>
              </m:r>
              <m:r>
                <w:rPr>
                  <w:rFonts w:ascii="Cambria Math" w:hAnsi="Cambria Math"/>
                </w:rPr>
                <m:t>,</m:t>
              </m:r>
              <m:r>
                <w:rPr>
                  <w:rFonts w:ascii="Cambria Math" w:hAnsi="Cambria Math"/>
                </w:rPr>
                <m:t>55</m:t>
              </m:r>
            </m:num>
            <m:den>
              <m:r>
                <w:rPr>
                  <w:rFonts w:ascii="Cambria Math" w:hAnsi="Cambria Math"/>
                </w:rPr>
                <m:t>3724,39</m:t>
              </m:r>
            </m:den>
          </m:f>
          <m:r>
            <w:rPr>
              <w:rFonts w:ascii="Cambria Math" w:hAnsi="Cambria Math"/>
            </w:rPr>
            <m:t>∙100%=</m:t>
          </m:r>
          <m:r>
            <w:rPr>
              <w:rFonts w:ascii="Cambria Math" w:hAnsi="Cambria Math"/>
            </w:rPr>
            <m:t>256</m:t>
          </m:r>
          <m:r>
            <w:rPr>
              <w:rFonts w:ascii="Cambria Math" w:hAnsi="Cambria Math"/>
            </w:rPr>
            <m:t>,</m:t>
          </m:r>
          <m:r>
            <w:rPr>
              <w:rFonts w:ascii="Cambria Math" w:hAnsi="Cambria Math"/>
            </w:rPr>
            <m:t>92</m:t>
          </m:r>
          <m:r>
            <w:rPr>
              <w:rFonts w:ascii="Cambria Math" w:hAnsi="Cambria Math"/>
            </w:rPr>
            <m:t>%</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lastRenderedPageBreak/>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t xml:space="preserve">Чистый </w:t>
      </w:r>
      <w:proofErr w:type="spellStart"/>
      <w:r>
        <w:t>дисонтированный</w:t>
      </w:r>
      <w:proofErr w:type="spellEnd"/>
      <w:r>
        <w:t xml:space="preserve"> доход за один года работы программы составит </w:t>
      </w:r>
      <w:r w:rsidRPr="00AE3102">
        <w:t>9 568,55</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13292,93</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Pr>
          <w:rFonts w:ascii="Cambria Math" w:eastAsia="Cambria Math" w:hAnsi="Cambria Math" w:cs="Cambria Math"/>
        </w:rPr>
        <w:t>256</w:t>
      </w:r>
      <w:r w:rsidRPr="00BC7EA5">
        <w:rPr>
          <w:rFonts w:ascii="Cambria Math" w:eastAsia="Cambria Math" w:hAnsi="Cambria Math" w:cs="Cambria Math"/>
        </w:rPr>
        <w:t>,</w:t>
      </w:r>
      <w:r>
        <w:rPr>
          <w:rFonts w:ascii="Cambria Math" w:eastAsia="Cambria Math" w:hAnsi="Cambria Math" w:cs="Cambria Math"/>
        </w:rPr>
        <w:t>92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90A" w:rsidRDefault="0054590A" w:rsidP="0064602A">
      <w:r>
        <w:separator/>
      </w:r>
    </w:p>
  </w:endnote>
  <w:endnote w:type="continuationSeparator" w:id="0">
    <w:p w:rsidR="0054590A" w:rsidRDefault="0054590A"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DAB" w:rsidRPr="006C59A1" w:rsidRDefault="00377DAB"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377DAB" w:rsidRPr="006C59A1" w:rsidRDefault="00377DAB"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DAB" w:rsidRPr="006C59A1" w:rsidRDefault="00377DAB"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90A" w:rsidRDefault="0054590A" w:rsidP="0064602A">
      <w:r>
        <w:separator/>
      </w:r>
    </w:p>
  </w:footnote>
  <w:footnote w:type="continuationSeparator" w:id="0">
    <w:p w:rsidR="0054590A" w:rsidRDefault="0054590A"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6"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7"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2"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2"/>
  </w:num>
  <w:num w:numId="4">
    <w:abstractNumId w:val="15"/>
  </w:num>
  <w:num w:numId="5">
    <w:abstractNumId w:val="4"/>
  </w:num>
  <w:num w:numId="6">
    <w:abstractNumId w:val="3"/>
  </w:num>
  <w:num w:numId="7">
    <w:abstractNumId w:val="16"/>
  </w:num>
  <w:num w:numId="8">
    <w:abstractNumId w:val="9"/>
  </w:num>
  <w:num w:numId="9">
    <w:abstractNumId w:val="11"/>
  </w:num>
  <w:num w:numId="10">
    <w:abstractNumId w:val="21"/>
  </w:num>
  <w:num w:numId="11">
    <w:abstractNumId w:val="1"/>
  </w:num>
  <w:num w:numId="12">
    <w:abstractNumId w:val="2"/>
  </w:num>
  <w:num w:numId="13">
    <w:abstractNumId w:val="18"/>
  </w:num>
  <w:num w:numId="14">
    <w:abstractNumId w:val="0"/>
  </w:num>
  <w:num w:numId="15">
    <w:abstractNumId w:val="10"/>
    <w:lvlOverride w:ilvl="0">
      <w:lvl w:ilvl="0" w:tplc="A72AAA8A">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AF66E22">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24D82A">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DD2ECD8">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2607088">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BF683B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16E7FD2">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168B2D8">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EB4F1BE">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2"/>
  </w:num>
  <w:num w:numId="18">
    <w:abstractNumId w:val="20"/>
  </w:num>
  <w:num w:numId="19">
    <w:abstractNumId w:val="17"/>
  </w:num>
  <w:num w:numId="20">
    <w:abstractNumId w:val="5"/>
  </w:num>
  <w:num w:numId="21">
    <w:abstractNumId w:val="6"/>
  </w:num>
  <w:num w:numId="22">
    <w:abstractNumId w:val="8"/>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742"/>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65A6E"/>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7B95F-2F8C-4CC7-B4CB-E1A941A2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15439</TotalTime>
  <Pages>43</Pages>
  <Words>8311</Words>
  <Characters>47374</Characters>
  <Application>Microsoft Office Word</Application>
  <DocSecurity>0</DocSecurity>
  <Lines>394</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2624</cp:revision>
  <cp:lastPrinted>2018-05-21T07:44:00Z</cp:lastPrinted>
  <dcterms:created xsi:type="dcterms:W3CDTF">2013-04-12T04:10:00Z</dcterms:created>
  <dcterms:modified xsi:type="dcterms:W3CDTF">2019-05-11T06:37:00Z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