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 xml:space="preserve">Complete audit, debug &amp; fix toolkit for production websites and databases  ·  Codex plugin  ·  v1.0.27</w:t>
      </w:r>
    </w:p>
    <w:p>
      <w:pPr>
        <w:spacing w:after="20"/>
      </w:pPr>
    </w:p>
    <w:p>
      <w:pPr>
        <w:spacing w:after="100" w:line="264"/>
      </w:pPr>
      <w:r>
        <w:rPr>
          <w:rFonts w:ascii="Calibri" w:cs="Calibri" w:eastAsia="Calibri" w:hAnsi="Calibri"/>
          <w:color w:val="222222"/>
          <w:sz w:val="21"/>
          <w:szCs w:val="21"/>
        </w:rPr>
        <w:t xml:space="preserve">This plugin gives Codex 26 specialist skills, 24 command-derived skills,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Specialist skills can trigger on matching work; command-derived skills require explicit $name invocation. This sheet lists every command-derived skill,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the Solo Suite Codex repository, add the marketplace with the Codex CLI: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codex plugin marketplace add /path/to/solo-suite-codex</w:t>
            </w:r>
          </w:p>
          <w:p>
            <w:pPr>
              <w:spacing w:after="40"/>
            </w:pPr>
            <w:r>
              <w:rPr>
                <w:rFonts w:ascii="Consolas" w:cs="Consolas" w:eastAsia="Consolas" w:hAnsi="Consolas"/>
                <w:color w:val="1F3A5F"/>
                <w:sz w:val="18"/>
                <w:szCs w:val="18"/>
              </w:rPr>
              <w:t xml:space="preserve">codex plugin add site-doctor@solo-suite-codex</w:t>
            </w:r>
          </w:p>
          <w:p>
            <w:pPr>
              <w:spacing w:after="0"/>
            </w:pPr>
            <w:r>
              <w:rPr>
                <w:rFonts w:ascii="Consolas" w:cs="Consolas" w:eastAsia="Consolas" w:hAnsi="Consolas"/>
                <w:color w:val="1F3A5F"/>
                <w:sz w:val="18"/>
                <w:szCs w:val="18"/>
              </w:rPr>
              <w:t xml:space="preserve">Restart the Codex app, then start a new task.</w:t>
            </w:r>
          </w:p>
        </w:tc>
      </w:tr>
    </w:tbl>
    <w:p>
      <w:pPr>
        <w:spacing w:after="60"/>
      </w:pPr>
    </w:p>
    <w:p>
      <w:pPr>
        <w:spacing w:after="100" w:line="264"/>
      </w:pPr>
      <w:r>
        <w:rPr>
          <w:rFonts w:ascii="Calibri" w:cs="Calibri" w:eastAsia="Calibri" w:hAnsi="Calibri"/>
          <w:color w:val="222222"/>
          <w:sz w:val="21"/>
          <w:szCs w:val="21"/>
        </w:rPr>
        <w:t xml:space="preserve">For a Git-backed marketplace: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codex plugin marketplace add /verified/path/to/solo-suite-codex</w:t>
            </w:r>
          </w:p>
          <w:p>
            <w:pPr>
              <w:spacing w:after="0"/>
            </w:pPr>
            <w:r>
              <w:rPr>
                <w:rFonts w:ascii="Consolas" w:cs="Consolas" w:eastAsia="Consolas" w:hAnsi="Consolas"/>
                <w:color w:val="1F3A5F"/>
                <w:sz w:val="18"/>
                <w:szCs w:val="18"/>
              </w:rPr>
              <w:t xml:space="preserve">codex plugin add site-doctor@solo-suite-codex</w:t>
            </w:r>
          </w:p>
        </w:tc>
      </w:tr>
    </w:tbl>
    <w:p>
      <w:pPr>
        <w:spacing w:after="60"/>
      </w:pPr>
    </w:p>
    <w:p>
      <w:pPr>
        <w:spacing w:after="100" w:line="264"/>
      </w:pPr>
      <w:r>
        <w:rPr>
          <w:rFonts w:ascii="Calibri" w:cs="Calibri" w:eastAsia="Calibri" w:hAnsi="Calibri"/>
          <w:b/>
          <w:bCs/>
          <w:color w:val="222222"/>
          <w:sz w:val="21"/>
          <w:szCs w:val="21"/>
        </w:rPr>
        <w:t xml:space="preserve">Standalone use: </w:t>
      </w:r>
      <w:r>
        <w:rPr>
          <w:rFonts w:ascii="Calibri" w:cs="Calibri" w:eastAsia="Calibri" w:hAnsi="Calibri"/>
          <w:color w:val="222222"/>
          <w:sz w:val="21"/>
          <w:szCs w:val="21"/>
        </w:rPr>
        <w:t xml:space="preserve">Skills with helper scripts must remain inside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because they use </w:t>
      </w:r>
      <w:r>
        <w:rPr>
          <w:rFonts w:ascii="Consolas" w:cs="Consolas" w:eastAsia="Consolas" w:hAnsi="Consolas"/>
          <w:color w:val="1F3A5F"/>
          <w:sz w:val="19"/>
          <w:szCs w:val="19"/>
          <w:shd w:fill="F4F4F6" w:color="auto" w:val="clear"/>
        </w:rPr>
        <w:t xml:space="preserve">plugins/site-doctor/lib/url_guard.py</w:t>
      </w:r>
      <w:r>
        <w:rPr>
          <w:rFonts w:ascii="Calibri" w:cs="Calibri" w:eastAsia="Calibri" w:hAnsi="Calibri"/>
          <w:color w:val="222222"/>
          <w:sz w:val="21"/>
          <w:szCs w:val="21"/>
        </w:rPr>
        <w:t xml:space="preserve">; do not copy only the skill folder to </w:t>
      </w:r>
      <w:r>
        <w:rPr>
          <w:rFonts w:ascii="Consolas" w:cs="Consolas" w:eastAsia="Consolas" w:hAnsi="Consolas"/>
          <w:color w:val="1F3A5F"/>
          <w:sz w:val="19"/>
          <w:szCs w:val="19"/>
          <w:shd w:fill="F4F4F6" w:color="auto" w:val="clear"/>
        </w:rPr>
        <w:t xml:space="preserve">~/.codex/skills/</w:t>
      </w:r>
      <w:r>
        <w:rPr>
          <w:rFonts w:ascii="Calibri" w:cs="Calibri" w:eastAsia="Calibri" w:hAnsi="Calibri"/>
          <w:color w:val="222222"/>
          <w:sz w:val="21"/>
          <w:szCs w:val="21"/>
        </w:rPr>
        <w:t xml:space="preserve"> unless its shared dependencies are packaged too.</w:t>
      </w:r>
    </w:p>
    <w:p>
      <w:pPr>
        <w:pStyle w:val="Heading1"/>
        <w:pBdr>
          <w:bottom w:val="single" w:color="C9D4E0" w:sz="8" w:space="4"/>
        </w:pBdr>
        <w:spacing w:after="120" w:before="260"/>
      </w:pPr>
      <w:r>
        <w:rPr>
          <w:rFonts w:ascii="Calibri" w:cs="Calibri" w:eastAsia="Calibri" w:hAnsi="Calibri"/>
          <w:b/>
          <w:bCs/>
          <w:color w:val="1F3A5F"/>
          <w:sz w:val="30"/>
          <w:szCs w:val="30"/>
        </w:rPr>
        <w:t xml:space="preserve">Command-derived Skills — Quick Reference</w:t>
      </w:r>
    </w:p>
    <w:p>
      <w:pPr>
        <w:spacing w:after="100" w:line="264"/>
      </w:pPr>
      <w:r>
        <w:rPr>
          <w:rFonts w:ascii="Calibri" w:cs="Calibri" w:eastAsia="Calibri" w:hAnsi="Calibri"/>
          <w:color w:val="222222"/>
          <w:sz w:val="21"/>
          <w:szCs w:val="21"/>
        </w:rPr>
        <w:t xml:space="preserve">Invoke these explicit skills with $. Arguments in [brackets] are optional — if omitted, Codex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Deep OWASP Top 10 review — injection, broken auth, access control / IDOR, XSS, SSRF, secrets, CVEs.</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because they use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Bundled helpers resolve from the intact installed plugin root. Run </w:t>
      </w:r>
      <w:r>
        <w:rPr>
          <w:rFonts w:ascii="Consolas" w:cs="Consolas" w:eastAsia="Consolas" w:hAnsi="Consolas"/>
          <w:color w:val="1F3A5F"/>
          <w:sz w:val="19"/>
          <w:szCs w:val="19"/>
          <w:shd w:fill="F4F4F6" w:color="auto" w:val="clear"/>
        </w:rPr>
        <w:t xml:space="preserve">&lt;python-command&gt; &lt;resolved-plugin-root&gt;/scripts/run_helper.py &lt;helper-id&gt;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scans a codebase for hardcoded secrets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because they use Codex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the intended Codex workflow is explicit.</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 xml:space="preserve">Do a deep security review of my web app at https://example.com — codebase is at ./src, which I own and am authorized to test. Run the secret scanner, then walk the full OWASP Top 10: injection, broken auth, access control/IDOR, XSS, SSRF, deserialization, and dependency CVEs. Tag each finding with its OWASP category and a non-destructive repro.</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because they use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 xml:space="preserve">Audit my PostgreSQL database (read-only connection: postgres://readonly@host/db). Check schema quality, missing/redundant indexes, the slowest queries, security, and data integrity. Use read-only queries only, and give me a severity-ranked report with the exact query result as evidence and a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 xml:space="preserve">Audit my signup and checkout forms on https://example.com for conversion and quality. Walk through completing them, then review field friction (are we asking for too much?), inline validation and error handling, accessibility (labels, keyboard, screen-reader errors), submission feedback and double-submit protection, security and spam protection, and the mobile input experience. Rank by conversion and access impact.</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20"/>
      </w:pPr>
    </w:p>
    <w:p>
      <w:pPr>
        <w:pBdr>
          <w:top w:val="single" w:color="C9D4E0" w:sz="8" w:space="4"/>
        </w:pBdr>
        <w:spacing w:before="40" w:after="0"/>
      </w:pPr>
      <w:r>
        <w:rPr>
          <w:rFonts w:ascii="Calibri" w:cs="Calibri" w:eastAsia="Calibri" w:hAnsi="Calibri"/>
          <w:i/>
          <w:iCs/>
          <w:color w:val="555555"/>
          <w:sz w:val="18"/>
          <w:szCs w:val="18"/>
        </w:rPr>
        <w:t xml:space="preserve">Tip: invoke a specific fix skill explicitly. Preview the plan, create a restore point, and confirm before any mutation — especially auth, payments, or destructive operations.</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Doctor for Codex - Cheat Sheet</dc:title>
  <dc:creator/>
  <cp:lastModifiedBy/>
  <cp:revision>1</cp:revision>
  <dcterms:created xsi:type="dcterms:W3CDTF">2026-07-07T03:05:28.981Z</dcterms:created>
  <dcterms:modified xsi:type="dcterms:W3CDTF">2026-07-15T07:29:39Z</dcterms:modified>
  <dc:subject>Solo Suite Codex v1.0.27</dc:subject>
</cp:coreProperties>
</file>