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TSong" w:hAnsi="STSong" w:eastAsia="STSong" w:cs="STSong"/>
          <w:b/>
          <w:color w:val="1E1E1E"/>
          <w:sz w:val="46"/>
        </w:rPr>
        <w:t>费用报销制度</w:t>
      </w:r>
    </w:p>
    <w:p>
      <w:pPr>
        <w:spacing w:after="280"/>
      </w:pPr>
      <w:r>
        <w:rPr>
          <w:rFonts w:ascii="STSong" w:hAnsi="STSong" w:eastAsia="STSong" w:cs="STSong"/>
          <w:b w:val="0"/>
          <w:color w:val="5A626C"/>
          <w:sz w:val="24"/>
        </w:rPr>
        <w:t>企业内部管理制度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归口部门：</w:t>
      </w:r>
      <w:r>
        <w:rPr>
          <w:rFonts w:ascii="STSong" w:hAnsi="STSong" w:eastAsia="STSong" w:cs="STSong"/>
          <w:b w:val="0"/>
          <w:color w:val="5A626C"/>
          <w:sz w:val="21"/>
        </w:rPr>
        <w:t>财务部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适用范围：</w:t>
      </w:r>
      <w:r>
        <w:rPr>
          <w:rFonts w:ascii="STSong" w:hAnsi="STSong" w:eastAsia="STSong" w:cs="STSong"/>
          <w:b w:val="0"/>
          <w:color w:val="5A626C"/>
          <w:sz w:val="21"/>
        </w:rPr>
        <w:t>全体员工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生效日期：</w:t>
      </w:r>
      <w:r>
        <w:rPr>
          <w:rFonts w:ascii="STSong" w:hAnsi="STSong" w:eastAsia="STSong" w:cs="STSong"/>
          <w:b w:val="0"/>
          <w:color w:val="5A626C"/>
          <w:sz w:val="21"/>
        </w:rPr>
        <w:t>2026年1月1日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文件版本：</w:t>
      </w:r>
      <w:r>
        <w:rPr>
          <w:rFonts w:ascii="STSong" w:hAnsi="STSong" w:eastAsia="STSong" w:cs="STSong"/>
          <w:b w:val="0"/>
          <w:color w:val="5A626C"/>
          <w:sz w:val="21"/>
        </w:rPr>
        <w:t>V1.0</w:t>
      </w:r>
    </w:p>
    <w:p>
      <w:pPr>
        <w:spacing w:before="160" w:after="200"/>
        <w:pBdr>
          <w:bottom w:val="single" w:sz="10" w:space="1" w:color="2E74B5"/>
        </w:pBdr>
      </w:pPr>
    </w:p>
    <w:p>
      <w:pPr>
        <w:pStyle w:val="Heading1"/>
      </w:pPr>
      <w:r>
        <w:t>一、制度目的</w:t>
      </w:r>
    </w:p>
    <w:p>
      <w:r>
        <w:t>统一业务费用的申请、凭证和审批要求，确保公司费用真实、合规并可追溯。</w:t>
      </w:r>
    </w:p>
    <w:p>
      <w:pPr>
        <w:pStyle w:val="Heading1"/>
      </w:pPr>
      <w:r>
        <w:t>二、制度内容</w:t>
      </w:r>
    </w:p>
    <w:p>
      <w:pPr>
        <w:pStyle w:val="Heading2"/>
      </w:pPr>
      <w:r>
        <w:t>第一条 提交时限</w:t>
      </w:r>
    </w:p>
    <w:p>
      <w:r>
        <w:t>员工应在费用发生后的5个工作日内提交报销申请，并附上合法有效的发票及必要的业务说明。超过时限的申请应说明原因。</w:t>
      </w:r>
    </w:p>
    <w:p>
      <w:pPr>
        <w:pStyle w:val="Heading2"/>
      </w:pPr>
      <w:r>
        <w:t>第二条 审批权限</w:t>
      </w:r>
    </w:p>
    <w:p>
      <w:r>
        <w:t>普通费用由直属主管审批。单笔金额超过5000元的费用还需要部门负责人审批，超过预算的费用须事先取得财务部确认。</w:t>
      </w:r>
    </w:p>
    <w:p>
      <w:pPr>
        <w:pStyle w:val="Heading2"/>
      </w:pPr>
      <w:r>
        <w:t>第三条 支付与归档</w:t>
      </w:r>
    </w:p>
    <w:p>
      <w:r>
        <w:t>财务部完成合规审核后统一安排付款。电子申请记录和原始凭证按照公司档案管理要求保存。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 w:cs="STSong"/>
        <w:b w:val="0"/>
        <w:color w:val="5A626C"/>
        <w:sz w:val="17"/>
      </w:rPr>
      <w:t>内部资料，请妥善保管｜第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 w:cs="STSong"/>
        <w:b w:val="0"/>
        <w:color w:val="5A626C"/>
        <w:sz w:val="17"/>
      </w:rPr>
      <w:t>示例科技有限公司｜内部制度文件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TSong" w:hAnsi="STSong" w:eastAsia="STSong" w:cs="STSong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费用报销制度</dc:title>
  <dc:subject>企业内部制度知识库示例</dc:subject>
  <dc:creator>示例科技有限公司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