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TSong" w:hAnsi="STSong" w:eastAsia="STSong" w:cs="STSong"/>
          <w:b/>
          <w:color w:val="1E1E1E"/>
          <w:sz w:val="46"/>
        </w:rPr>
        <w:t>办公区域安全制度</w:t>
      </w:r>
    </w:p>
    <w:p>
      <w:pPr>
        <w:spacing w:after="280"/>
      </w:pPr>
      <w:r>
        <w:rPr>
          <w:rFonts w:ascii="STSong" w:hAnsi="STSong" w:eastAsia="STSong" w:cs="STSong"/>
          <w:b w:val="0"/>
          <w:color w:val="5A626C"/>
          <w:sz w:val="24"/>
        </w:rPr>
        <w:t>企业内部管理制度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归口部门：</w:t>
      </w:r>
      <w:r>
        <w:rPr>
          <w:rFonts w:ascii="STSong" w:hAnsi="STSong" w:eastAsia="STSong" w:cs="STSong"/>
          <w:b w:val="0"/>
          <w:color w:val="5A626C"/>
          <w:sz w:val="21"/>
        </w:rPr>
        <w:t>行政部、信息安全团队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适用范围：</w:t>
      </w:r>
      <w:r>
        <w:rPr>
          <w:rFonts w:ascii="STSong" w:hAnsi="STSong" w:eastAsia="STSong" w:cs="STSong"/>
          <w:b w:val="0"/>
          <w:color w:val="5A626C"/>
          <w:sz w:val="21"/>
        </w:rPr>
        <w:t>进入公司办公区域的员工和长期驻场人员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生效日期：</w:t>
      </w:r>
      <w:r>
        <w:rPr>
          <w:rFonts w:ascii="STSong" w:hAnsi="STSong" w:eastAsia="STSong" w:cs="STSong"/>
          <w:b w:val="0"/>
          <w:color w:val="5A626C"/>
          <w:sz w:val="21"/>
        </w:rPr>
        <w:t>2026年1月1日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文件版本：</w:t>
      </w:r>
      <w:r>
        <w:rPr>
          <w:rFonts w:ascii="STSong" w:hAnsi="STSong" w:eastAsia="STSong" w:cs="STSong"/>
          <w:b w:val="0"/>
          <w:color w:val="5A626C"/>
          <w:sz w:val="21"/>
        </w:rPr>
        <w:t>V1.0</w:t>
      </w:r>
    </w:p>
    <w:p>
      <w:pPr>
        <w:spacing w:before="160" w:after="200"/>
        <w:pBdr>
          <w:bottom w:val="single" w:sz="10" w:space="1" w:color="2E74B5"/>
        </w:pBdr>
      </w:pPr>
    </w:p>
    <w:p>
      <w:pPr>
        <w:pStyle w:val="Heading1"/>
      </w:pPr>
      <w:r>
        <w:t>一、制度目的</w:t>
      </w:r>
    </w:p>
    <w:p>
      <w:r>
        <w:t>规范办公区域身份凭证的使用和遗失处理，降低未授权访问风险。</w:t>
      </w:r>
    </w:p>
    <w:p>
      <w:pPr>
        <w:pStyle w:val="Heading1"/>
      </w:pPr>
      <w:r>
        <w:t>二、制度内容</w:t>
      </w:r>
    </w:p>
    <w:p>
      <w:pPr>
        <w:pStyle w:val="Heading2"/>
      </w:pPr>
      <w:r>
        <w:t>第一条 门禁卡使用</w:t>
      </w:r>
    </w:p>
    <w:p>
      <w:r>
        <w:t>员工应妥善保管本人门禁卡，不得把门禁卡借给他人使用，也不得代替无权限人员刷卡进入受控区域。</w:t>
      </w:r>
    </w:p>
    <w:p>
      <w:pPr>
        <w:pStyle w:val="Heading2"/>
      </w:pPr>
      <w:r>
        <w:t>第二条 遗失报告</w:t>
      </w:r>
    </w:p>
    <w:p>
      <w:r>
        <w:t>员工发现门禁卡遗失后，必须在30分钟内向行政部和信息安全团队报告。报告时应说明最后使用时间和可能遗失地点。</w:t>
      </w:r>
    </w:p>
    <w:p>
      <w:pPr>
        <w:pStyle w:val="Heading2"/>
      </w:pPr>
      <w:r>
        <w:t>第三条 停用与补办</w:t>
      </w:r>
    </w:p>
    <w:p>
      <w:r>
        <w:t>行政部收到报告后会立即停用原门禁卡并安排补办。员工找回已停用的门禁卡后不得自行恢复使用，应交回行政部处理。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Song" w:hAnsi="STSong" w:eastAsia="STSong" w:cs="STSong"/>
        <w:b w:val="0"/>
        <w:color w:val="5A626C"/>
        <w:sz w:val="17"/>
      </w:rPr>
      <w:t>内部资料，请妥善保管｜第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 w:cs="STSong"/>
        <w:b w:val="0"/>
        <w:color w:val="5A626C"/>
        <w:sz w:val="17"/>
      </w:rPr>
      <w:t>示例科技有限公司｜内部制度文件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STSong" w:hAnsi="STSong" w:eastAsia="STSong" w:cs="STSong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TSong" w:hAnsi="STSong" w:eastAsia="STSong" w:cs="STSong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办公区域安全制度</dc:title>
  <dc:subject>企业内部制度知识库示例</dc:subject>
  <dc:creator>示例科技有限公司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