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STSong" w:hAnsi="STSong" w:eastAsia="STSong" w:cs="STSong"/>
          <w:b/>
          <w:color w:val="1E1E1E"/>
          <w:sz w:val="46"/>
        </w:rPr>
        <w:t>员工培训制度</w:t>
      </w:r>
    </w:p>
    <w:p>
      <w:pPr>
        <w:spacing w:after="280"/>
      </w:pPr>
      <w:r>
        <w:rPr>
          <w:rFonts w:ascii="STSong" w:hAnsi="STSong" w:eastAsia="STSong" w:cs="STSong"/>
          <w:b w:val="0"/>
          <w:color w:val="5A626C"/>
          <w:sz w:val="24"/>
        </w:rPr>
        <w:t>企业内部管理制度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归口部门：</w:t>
      </w:r>
      <w:r>
        <w:rPr>
          <w:rFonts w:ascii="STSong" w:hAnsi="STSong" w:eastAsia="STSong" w:cs="STSong"/>
          <w:b w:val="0"/>
          <w:color w:val="5A626C"/>
          <w:sz w:val="21"/>
        </w:rPr>
        <w:t>人力资源部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适用范围：</w:t>
      </w:r>
      <w:r>
        <w:rPr>
          <w:rFonts w:ascii="STSong" w:hAnsi="STSong" w:eastAsia="STSong" w:cs="STSong"/>
          <w:b w:val="0"/>
          <w:color w:val="5A626C"/>
          <w:sz w:val="21"/>
        </w:rPr>
        <w:t>中国大陆地区正式员工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生效日期：</w:t>
      </w:r>
      <w:r>
        <w:rPr>
          <w:rFonts w:ascii="STSong" w:hAnsi="STSong" w:eastAsia="STSong" w:cs="STSong"/>
          <w:b w:val="0"/>
          <w:color w:val="5A626C"/>
          <w:sz w:val="21"/>
        </w:rPr>
        <w:t>2026年1月1日</w:t>
      </w:r>
    </w:p>
    <w:p>
      <w:pPr>
        <w:spacing w:after="40"/>
      </w:pPr>
      <w:r>
        <w:rPr>
          <w:rFonts w:ascii="STSong" w:hAnsi="STSong" w:eastAsia="STSong" w:cs="STSong"/>
          <w:b/>
          <w:color w:val="1E1E1E"/>
          <w:sz w:val="21"/>
        </w:rPr>
        <w:t>文件版本：</w:t>
      </w:r>
      <w:r>
        <w:rPr>
          <w:rFonts w:ascii="STSong" w:hAnsi="STSong" w:eastAsia="STSong" w:cs="STSong"/>
          <w:b w:val="0"/>
          <w:color w:val="5A626C"/>
          <w:sz w:val="21"/>
        </w:rPr>
        <w:t>V1.0</w:t>
      </w:r>
    </w:p>
    <w:p>
      <w:pPr>
        <w:spacing w:before="160" w:after="200"/>
        <w:pBdr>
          <w:bottom w:val="single" w:sz="10" w:space="1" w:color="2E74B5"/>
        </w:pBdr>
      </w:pPr>
    </w:p>
    <w:p>
      <w:pPr>
        <w:pStyle w:val="Heading1"/>
      </w:pPr>
      <w:r>
        <w:t>一、制度目的</w:t>
      </w:r>
    </w:p>
    <w:p>
      <w:r>
        <w:t>支持员工持续学习与岗位能力提升，明确年度学习预算的使用和报销要求。</w:t>
      </w:r>
    </w:p>
    <w:p>
      <w:pPr>
        <w:pStyle w:val="Heading1"/>
      </w:pPr>
      <w:r>
        <w:t>二、制度内容</w:t>
      </w:r>
    </w:p>
    <w:p>
      <w:pPr>
        <w:pStyle w:val="Heading2"/>
      </w:pPr>
      <w:r>
        <w:t>第一条 学习预算</w:t>
      </w:r>
    </w:p>
    <w:p>
      <w:r>
        <w:t>每位正式员工每年拥有3000元的学习预算，可用于购买与岗位相关的技术图书、在线课程或参加专业培训。</w:t>
      </w:r>
    </w:p>
    <w:p>
      <w:pPr>
        <w:pStyle w:val="Heading2"/>
      </w:pPr>
      <w:r>
        <w:t>第二条 申请与报销</w:t>
      </w:r>
    </w:p>
    <w:p>
      <w:r>
        <w:t>使用学习预算前应取得直属主管批准。完成学习后，员工应按照费用报销制度提交发票和学习内容说明。</w:t>
      </w:r>
    </w:p>
    <w:p>
      <w:pPr>
        <w:pStyle w:val="Heading2"/>
      </w:pPr>
      <w:r>
        <w:t>第三条 知识分享</w:t>
      </w:r>
    </w:p>
    <w:p>
      <w:r>
        <w:t>参加外部培训的员工应在团队内部完成一次知识分享，相关资料可归档至部门知识库供其他员工参考。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Song" w:hAnsi="STSong" w:eastAsia="STSong" w:cs="STSong"/>
        <w:b w:val="0"/>
        <w:color w:val="5A626C"/>
        <w:sz w:val="17"/>
      </w:rPr>
      <w:t>内部资料，请妥善保管｜第 1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 w:cs="STSong"/>
        <w:b w:val="0"/>
        <w:color w:val="5A626C"/>
        <w:sz w:val="17"/>
      </w:rPr>
      <w:t>示例科技有限公司｜内部制度文件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STSong" w:hAnsi="STSong" w:eastAsia="STSong" w:cs="STSong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Song" w:hAnsi="STSong" w:eastAsia="STSong" w:cs="STSo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Song" w:hAnsi="STSong" w:eastAsia="STSong" w:cs="STSong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员工培训制度</dc:title>
  <dc:subject>企业内部制度知识库示例</dc:subject>
  <dc:creator>示例科技有限公司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