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38"/>
        </w:rPr>
        <w:t>SALES PROCESS AUDIT</w:t>
      </w:r>
    </w:p>
    <w:p>
      <w:pPr>
        <w:jc w:val="center"/>
      </w:pPr>
      <w:r>
        <w:rPr>
          <w:rFonts w:ascii="Calibri" w:hAnsi="Calibri"/>
          <w:i/>
          <w:color w:val="2E5C8A"/>
          <w:sz w:val="18"/>
        </w:rPr>
        <w:t>Weighted process scorecard — enquiry, conversion, volume, manpower, stock, profitability, customer experience and physical showroom audit</w:t>
      </w:r>
    </w:p>
    <w:p>
      <w:pPr>
        <w:spacing w:after="80"/>
      </w:pPr>
      <w:r>
        <w:rPr>
          <w:rFonts w:ascii="Calibri" w:hAnsi="Calibri"/>
          <w:b/>
          <w:sz w:val="18"/>
        </w:rPr>
        <w:t xml:space="preserve">Purpose. </w:t>
      </w:r>
      <w:r>
        <w:rPr>
          <w:rFonts w:ascii="Calibri" w:hAnsi="Calibri"/>
          <w:b w:val="0"/>
          <w:sz w:val="18"/>
        </w:rPr>
        <w:t>This audit scores how well the sales process is performing against benchmarks, weights each area by business impact, and produces a single Sales Process Index that can be tracked month on month and compared across branches.</w:t>
      </w:r>
    </w:p>
    <w:p>
      <w:pPr>
        <w:spacing w:after="160"/>
      </w:pPr>
      <w:r>
        <w:rPr>
          <w:rFonts w:ascii="Calibri" w:hAnsi="Calibri"/>
          <w:b/>
          <w:sz w:val="18"/>
        </w:rPr>
        <w:t xml:space="preserve">Method. </w:t>
      </w:r>
      <w:r>
        <w:rPr>
          <w:rFonts w:ascii="Calibri" w:hAnsi="Calibri"/>
          <w:b w:val="0"/>
          <w:sz w:val="18"/>
        </w:rPr>
        <w:t>Each parameter is scored as Weight × Achievement %, capped at 100%. Achievement is measured against the norms in norms.yaml. Lines whose source data was not supplied are marked 'not scored' with the missing file named, and are excluded from the index denominator rather than scored zero. Any parameter below 75% achievement carries a line in the corrective action plan.</w:t>
      </w:r>
    </w:p>
    <w:p>
      <w:pPr>
        <w:spacing w:before="240" w:after="100"/>
        <w:pBdr>
          <w:bottom w:val="single" w:sz="8" w:color="1F3864" w:space="2"/>
        </w:pBdr>
      </w:pPr>
      <w:r>
        <w:rPr>
          <w:rFonts w:ascii="Calibri" w:hAnsi="Calibri"/>
          <w:b/>
          <w:color w:val="1F3864"/>
          <w:sz w:val="26"/>
        </w:rPr>
        <w:t>Audit identification</w:t>
      </w:r>
    </w:p>
    <w:tbl>
      <w:tblPr>
        <w:tblStyle w:val="TableGrid"/>
        <w:tblW w:type="auto" w:w="0"/>
        <w:tblLayout w:type="fixed"/>
        <w:tblLook w:firstColumn="1" w:firstRow="1" w:lastColumn="0" w:lastRow="0" w:noHBand="0" w:noVBand="1" w:val="04A0"/>
        <w:tblLayout w:type="fixed"/>
      </w:tblPr>
      <w:tblGrid>
        <w:gridCol w:w="2600"/>
        <w:gridCol w:w="5200"/>
        <w:gridCol w:w="2600"/>
        <w:gridCol w:w="5238"/>
      </w:tblGrid>
      <w:tr>
        <w:tc>
          <w:tcPr>
            <w:tcW w:type="dxa" w:w="2600"/>
            <w:tcW w:w="2600" w:type="dxa"/>
            <w:shd w:val="clear" w:color="auto" w:fill="DCE6F1"/>
          </w:tcPr>
          <w:p>
            <w:pPr>
              <w:spacing w:after="20" w:before="20"/>
            </w:pPr>
            <w:r/>
            <w:r>
              <w:rPr>
                <w:rFonts w:ascii="Calibri" w:hAnsi="Calibri"/>
                <w:b/>
                <w:i w:val="0"/>
                <w:sz w:val="18"/>
              </w:rPr>
              <w:t>Dealership</w:t>
            </w:r>
          </w:p>
        </w:tc>
        <w:tc>
          <w:tcPr>
            <w:tcW w:type="dxa" w:w="5200"/>
            <w:tcW w:w="5200" w:type="dxa"/>
          </w:tcPr>
          <w:p>
            <w:pPr>
              <w:spacing w:after="20" w:before="20"/>
            </w:pPr>
            <w:r/>
            <w:r>
              <w:rPr>
                <w:rFonts w:ascii="Calibri" w:hAnsi="Calibri"/>
                <w:b w:val="0"/>
                <w:i w:val="0"/>
                <w:sz w:val="18"/>
              </w:rPr>
              <w:t>Unnati Motors</w:t>
            </w:r>
          </w:p>
        </w:tc>
        <w:tc>
          <w:tcPr>
            <w:tcW w:type="dxa" w:w="2600"/>
            <w:tcW w:w="2600" w:type="dxa"/>
            <w:shd w:val="clear" w:color="auto" w:fill="DCE6F1"/>
          </w:tcPr>
          <w:p>
            <w:pPr>
              <w:spacing w:after="20" w:before="20"/>
            </w:pPr>
            <w:r/>
            <w:r>
              <w:rPr>
                <w:rFonts w:ascii="Calibri" w:hAnsi="Calibri"/>
                <w:b/>
                <w:i w:val="0"/>
                <w:sz w:val="18"/>
              </w:rPr>
              <w:t>Dealer code</w:t>
            </w:r>
          </w:p>
        </w:tc>
        <w:tc>
          <w:tcPr>
            <w:tcW w:type="dxa" w:w="5238"/>
            <w:tcW w:w="5238" w:type="dxa"/>
          </w:tcPr>
          <w:p>
            <w:pPr>
              <w:spacing w:after="20" w:before="20"/>
            </w:pPr>
            <w:r/>
            <w:r>
              <w:rPr>
                <w:rFonts w:ascii="Calibri" w:hAnsi="Calibri"/>
                <w:b w:val="0"/>
                <w:i w:val="0"/>
                <w:sz w:val="18"/>
              </w:rPr>
            </w:r>
          </w:p>
        </w:tc>
      </w:tr>
      <w:tr>
        <w:tc>
          <w:tcPr>
            <w:tcW w:type="dxa" w:w="2600"/>
            <w:tcW w:w="2600" w:type="dxa"/>
            <w:shd w:val="clear" w:color="auto" w:fill="DCE6F1"/>
          </w:tcPr>
          <w:p>
            <w:pPr>
              <w:spacing w:after="20" w:before="20"/>
            </w:pPr>
            <w:r/>
            <w:r>
              <w:rPr>
                <w:rFonts w:ascii="Calibri" w:hAnsi="Calibri"/>
                <w:b/>
                <w:i w:val="0"/>
                <w:sz w:val="18"/>
              </w:rPr>
              <w:t>Branches in scope</w:t>
            </w:r>
          </w:p>
        </w:tc>
        <w:tc>
          <w:tcPr>
            <w:tcW w:type="dxa" w:w="5200"/>
            <w:tcW w:w="5200" w:type="dxa"/>
          </w:tcPr>
          <w:p>
            <w:pPr>
              <w:spacing w:after="20" w:before="20"/>
            </w:pPr>
            <w:r/>
            <w:r>
              <w:rPr>
                <w:rFonts w:ascii="Calibri" w:hAnsi="Calibri"/>
                <w:b w:val="0"/>
                <w:i w:val="0"/>
                <w:sz w:val="18"/>
              </w:rPr>
              <w:t>11 branches</w:t>
            </w:r>
          </w:p>
        </w:tc>
        <w:tc>
          <w:tcPr>
            <w:tcW w:type="dxa" w:w="2600"/>
            <w:tcW w:w="2600" w:type="dxa"/>
            <w:shd w:val="clear" w:color="auto" w:fill="DCE6F1"/>
          </w:tcPr>
          <w:p>
            <w:pPr>
              <w:spacing w:after="20" w:before="20"/>
            </w:pPr>
            <w:r/>
            <w:r>
              <w:rPr>
                <w:rFonts w:ascii="Calibri" w:hAnsi="Calibri"/>
                <w:b/>
                <w:i w:val="0"/>
                <w:sz w:val="18"/>
              </w:rPr>
              <w:t>Audit date</w:t>
            </w:r>
          </w:p>
        </w:tc>
        <w:tc>
          <w:tcPr>
            <w:tcW w:type="dxa" w:w="5238"/>
            <w:tcW w:w="5238" w:type="dxa"/>
          </w:tcPr>
          <w:p>
            <w:pPr>
              <w:spacing w:after="20" w:before="20"/>
            </w:pPr>
            <w:r/>
            <w:r>
              <w:rPr>
                <w:rFonts w:ascii="Calibri" w:hAnsi="Calibri"/>
                <w:b w:val="0"/>
                <w:i w:val="0"/>
                <w:sz w:val="18"/>
              </w:rPr>
              <w:t>29-Aug-2026</w:t>
            </w:r>
          </w:p>
        </w:tc>
      </w:tr>
      <w:tr>
        <w:tc>
          <w:tcPr>
            <w:tcW w:type="dxa" w:w="2600"/>
            <w:tcW w:w="2600" w:type="dxa"/>
            <w:shd w:val="clear" w:color="auto" w:fill="DCE6F1"/>
          </w:tcPr>
          <w:p>
            <w:pPr>
              <w:spacing w:after="20" w:before="20"/>
            </w:pPr>
            <w:r/>
            <w:r>
              <w:rPr>
                <w:rFonts w:ascii="Calibri" w:hAnsi="Calibri"/>
                <w:b/>
                <w:i w:val="0"/>
                <w:sz w:val="18"/>
              </w:rPr>
              <w:t>Auditor</w:t>
            </w:r>
          </w:p>
        </w:tc>
        <w:tc>
          <w:tcPr>
            <w:tcW w:type="dxa" w:w="5200"/>
            <w:tcW w:w="5200" w:type="dxa"/>
          </w:tcPr>
          <w:p>
            <w:pPr>
              <w:spacing w:after="20" w:before="20"/>
            </w:pPr>
            <w:r/>
            <w:r>
              <w:rPr>
                <w:rFonts w:ascii="Calibri" w:hAnsi="Calibri"/>
                <w:b w:val="0"/>
                <w:i w:val="0"/>
                <w:sz w:val="18"/>
              </w:rPr>
            </w:r>
          </w:p>
        </w:tc>
        <w:tc>
          <w:tcPr>
            <w:tcW w:type="dxa" w:w="2600"/>
            <w:tcW w:w="2600" w:type="dxa"/>
            <w:shd w:val="clear" w:color="auto" w:fill="DCE6F1"/>
          </w:tcPr>
          <w:p>
            <w:pPr>
              <w:spacing w:after="20" w:before="20"/>
            </w:pPr>
            <w:r/>
            <w:r>
              <w:rPr>
                <w:rFonts w:ascii="Calibri" w:hAnsi="Calibri"/>
                <w:b/>
                <w:i w:val="0"/>
                <w:sz w:val="18"/>
              </w:rPr>
              <w:t>Audit period</w:t>
            </w:r>
          </w:p>
        </w:tc>
        <w:tc>
          <w:tcPr>
            <w:tcW w:type="dxa" w:w="5238"/>
            <w:tcW w:w="5238" w:type="dxa"/>
          </w:tcPr>
          <w:p>
            <w:pPr>
              <w:spacing w:after="20" w:before="20"/>
            </w:pPr>
            <w:r/>
            <w:r>
              <w:rPr>
                <w:rFonts w:ascii="Calibri" w:hAnsi="Calibri"/>
                <w:b w:val="0"/>
                <w:i w:val="0"/>
                <w:sz w:val="18"/>
              </w:rPr>
              <w:t>01-Aug-2026 to 29-Aug-2026</w:t>
            </w:r>
          </w:p>
        </w:tc>
      </w:tr>
      <w:tr>
        <w:tc>
          <w:tcPr>
            <w:tcW w:type="dxa" w:w="2600"/>
            <w:tcW w:w="2600" w:type="dxa"/>
            <w:shd w:val="clear" w:color="auto" w:fill="DCE6F1"/>
          </w:tcPr>
          <w:p>
            <w:pPr>
              <w:spacing w:after="20" w:before="20"/>
            </w:pPr>
            <w:r/>
            <w:r>
              <w:rPr>
                <w:rFonts w:ascii="Calibri" w:hAnsi="Calibri"/>
                <w:b/>
                <w:i w:val="0"/>
                <w:sz w:val="18"/>
              </w:rPr>
              <w:t>Population</w:t>
            </w:r>
          </w:p>
        </w:tc>
        <w:tc>
          <w:tcPr>
            <w:tcW w:type="dxa" w:w="5200"/>
            <w:tcW w:w="5200" w:type="dxa"/>
          </w:tcPr>
          <w:p>
            <w:pPr>
              <w:spacing w:after="20" w:before="20"/>
            </w:pPr>
            <w:r/>
            <w:r>
              <w:rPr>
                <w:rFonts w:ascii="Calibri" w:hAnsi="Calibri"/>
                <w:b w:val="0"/>
                <w:i w:val="0"/>
                <w:sz w:val="18"/>
              </w:rPr>
              <w:t>441 enquiries · 92 test drives · 59 bookings · 30 retails</w:t>
            </w:r>
          </w:p>
        </w:tc>
        <w:tc>
          <w:tcPr>
            <w:tcW w:type="dxa" w:w="2600"/>
            <w:tcW w:w="2600" w:type="dxa"/>
            <w:shd w:val="clear" w:color="auto" w:fill="DCE6F1"/>
          </w:tcPr>
          <w:p>
            <w:pPr>
              <w:spacing w:after="20" w:before="20"/>
            </w:pPr>
            <w:r/>
            <w:r>
              <w:rPr>
                <w:rFonts w:ascii="Calibri" w:hAnsi="Calibri"/>
                <w:b/>
                <w:i w:val="0"/>
                <w:sz w:val="18"/>
              </w:rPr>
              <w:t>Sales Process Index</w:t>
            </w:r>
          </w:p>
        </w:tc>
        <w:tc>
          <w:tcPr>
            <w:tcW w:type="dxa" w:w="5238"/>
            <w:tcW w:w="5238" w:type="dxa"/>
          </w:tcPr>
          <w:p>
            <w:pPr>
              <w:spacing w:after="20" w:before="20"/>
            </w:pPr>
            <w:r/>
            <w:r>
              <w:rPr>
                <w:rFonts w:ascii="Calibri" w:hAnsi="Calibri"/>
                <w:b w:val="0"/>
                <w:i w:val="0"/>
                <w:sz w:val="18"/>
              </w:rPr>
              <w:t>50.2 / 100  —  Red — Critical</w:t>
            </w:r>
          </w:p>
        </w:tc>
      </w:tr>
    </w:tbl>
    <w:p>
      <w:pPr>
        <w:spacing w:before="240" w:after="100"/>
        <w:pBdr>
          <w:bottom w:val="single" w:sz="8" w:color="1F3864" w:space="2"/>
        </w:pBdr>
      </w:pPr>
      <w:r>
        <w:rPr>
          <w:rFonts w:ascii="Calibri" w:hAnsi="Calibri"/>
          <w:b/>
          <w:color w:val="1F3864"/>
          <w:sz w:val="26"/>
        </w:rPr>
        <w:t>Input source files</w:t>
      </w:r>
    </w:p>
    <w:p>
      <w:pPr>
        <w:spacing w:after="80"/>
      </w:pPr>
      <w:r>
        <w:rPr>
          <w:rFonts w:ascii="Calibri" w:hAnsi="Calibri"/>
          <w:b w:val="0"/>
          <w:sz w:val="16"/>
        </w:rPr>
        <w:t>Every figure in this audit traces back to a file listed here. Files marked 'Not supplied' are the reason some lines remain unscored.</w:t>
      </w:r>
    </w:p>
    <w:tbl>
      <w:tblPr>
        <w:tblStyle w:val="TableGrid"/>
        <w:tblW w:type="auto" w:w="0"/>
        <w:tblLayout w:type="fixed"/>
        <w:tblLook w:firstColumn="1" w:firstRow="1" w:lastColumn="0" w:lastRow="0" w:noHBand="0" w:noVBand="1" w:val="04A0"/>
        <w:tblLayout w:type="fixed"/>
      </w:tblPr>
      <w:tblGrid>
        <w:gridCol w:w="900"/>
        <w:gridCol w:w="5200"/>
        <w:gridCol w:w="1600"/>
        <w:gridCol w:w="1600"/>
        <w:gridCol w:w="3000"/>
        <w:gridCol w:w="3338"/>
      </w:tblGrid>
      <w:tr>
        <w:tc>
          <w:tcPr>
            <w:tcW w:type="dxa" w:w="2606"/>
            <w:tcW w:w="900" w:type="dxa"/>
            <w:shd w:val="clear" w:color="auto" w:fill="1F3864"/>
            <w:vAlign w:val="center"/>
          </w:tcPr>
          <w:p>
            <w:pPr>
              <w:spacing w:after="20" w:before="20"/>
              <w:jc w:val="center"/>
            </w:pPr>
            <w:r/>
            <w:r>
              <w:rPr>
                <w:rFonts w:ascii="Calibri" w:hAnsi="Calibri"/>
                <w:b/>
                <w:i w:val="0"/>
                <w:color w:val="FFFFFF"/>
                <w:sz w:val="18"/>
              </w:rPr>
              <w:t>Ref</w:t>
            </w:r>
          </w:p>
        </w:tc>
        <w:tc>
          <w:tcPr>
            <w:tcW w:type="dxa" w:w="2606"/>
            <w:tcW w:w="5200" w:type="dxa"/>
            <w:shd w:val="clear" w:color="auto" w:fill="1F3864"/>
            <w:vAlign w:val="center"/>
          </w:tcPr>
          <w:p>
            <w:pPr>
              <w:spacing w:after="20" w:before="20"/>
              <w:jc w:val="center"/>
            </w:pPr>
            <w:r/>
            <w:r>
              <w:rPr>
                <w:rFonts w:ascii="Calibri" w:hAnsi="Calibri"/>
                <w:b/>
                <w:i w:val="0"/>
                <w:color w:val="FFFFFF"/>
                <w:sz w:val="18"/>
              </w:rPr>
              <w:t>Input source file name</w:t>
            </w:r>
          </w:p>
        </w:tc>
        <w:tc>
          <w:tcPr>
            <w:tcW w:type="dxa" w:w="2606"/>
            <w:tcW w:w="1600" w:type="dxa"/>
            <w:shd w:val="clear" w:color="auto" w:fill="1F3864"/>
            <w:vAlign w:val="center"/>
          </w:tcPr>
          <w:p>
            <w:pPr>
              <w:spacing w:after="20" w:before="20"/>
              <w:jc w:val="center"/>
            </w:pPr>
            <w:r/>
            <w:r>
              <w:rPr>
                <w:rFonts w:ascii="Calibri" w:hAnsi="Calibri"/>
                <w:b/>
                <w:i w:val="0"/>
                <w:color w:val="FFFFFF"/>
                <w:sz w:val="18"/>
              </w:rPr>
              <w:t>Sheet</w:t>
            </w:r>
          </w:p>
        </w:tc>
        <w:tc>
          <w:tcPr>
            <w:tcW w:type="dxa" w:w="2606"/>
            <w:tcW w:w="1600" w:type="dxa"/>
            <w:shd w:val="clear" w:color="auto" w:fill="1F3864"/>
            <w:vAlign w:val="center"/>
          </w:tcPr>
          <w:p>
            <w:pPr>
              <w:spacing w:after="20" w:before="20"/>
              <w:jc w:val="center"/>
            </w:pPr>
            <w:r/>
            <w:r>
              <w:rPr>
                <w:rFonts w:ascii="Calibri" w:hAnsi="Calibri"/>
                <w:b/>
                <w:i w:val="0"/>
                <w:color w:val="FFFFFF"/>
                <w:sz w:val="18"/>
              </w:rPr>
              <w:t>Records</w:t>
            </w:r>
          </w:p>
        </w:tc>
        <w:tc>
          <w:tcPr>
            <w:tcW w:type="dxa" w:w="2606"/>
            <w:tcW w:w="3000" w:type="dxa"/>
            <w:shd w:val="clear" w:color="auto" w:fill="1F3864"/>
            <w:vAlign w:val="center"/>
          </w:tcPr>
          <w:p>
            <w:pPr>
              <w:spacing w:after="20" w:before="20"/>
              <w:jc w:val="center"/>
            </w:pPr>
            <w:r/>
            <w:r>
              <w:rPr>
                <w:rFonts w:ascii="Calibri" w:hAnsi="Calibri"/>
                <w:b/>
                <w:i w:val="0"/>
                <w:color w:val="FFFFFF"/>
                <w:sz w:val="18"/>
              </w:rPr>
              <w:t>What it is</w:t>
            </w:r>
          </w:p>
        </w:tc>
        <w:tc>
          <w:tcPr>
            <w:tcW w:type="dxa" w:w="2606"/>
            <w:tcW w:w="3338" w:type="dxa"/>
            <w:shd w:val="clear" w:color="auto" w:fill="1F3864"/>
            <w:vAlign w:val="center"/>
          </w:tcPr>
          <w:p>
            <w:pPr>
              <w:spacing w:after="20" w:before="20"/>
              <w:jc w:val="center"/>
            </w:pPr>
            <w:r/>
            <w:r>
              <w:rPr>
                <w:rFonts w:ascii="Calibri" w:hAnsi="Calibri"/>
                <w:b/>
                <w:i w:val="0"/>
                <w:color w:val="FFFFFF"/>
                <w:sz w:val="18"/>
              </w:rPr>
              <w:t>Status / what it scores</w:t>
            </w:r>
          </w:p>
        </w:tc>
      </w:tr>
      <w:tr>
        <w:tc>
          <w:tcPr>
            <w:tcW w:type="dxa" w:w="900"/>
            <w:tcW w:w="900" w:type="dxa"/>
          </w:tcPr>
          <w:p>
            <w:pPr>
              <w:spacing w:after="20" w:before="20"/>
            </w:pPr>
            <w:r/>
            <w:r>
              <w:rPr>
                <w:rFonts w:ascii="Calibri" w:hAnsi="Calibri"/>
                <w:b/>
                <w:i w:val="0"/>
                <w:sz w:val="16"/>
              </w:rPr>
              <w:t>F3</w:t>
            </w:r>
          </w:p>
        </w:tc>
        <w:tc>
          <w:tcPr>
            <w:tcW w:type="dxa" w:w="5200"/>
            <w:tcW w:w="5200" w:type="dxa"/>
          </w:tcPr>
          <w:p>
            <w:pPr>
              <w:spacing w:after="20" w:before="20"/>
            </w:pPr>
            <w:r/>
            <w:r>
              <w:rPr>
                <w:rFonts w:ascii="Calibri" w:hAnsi="Calibri"/>
                <w:b w:val="0"/>
                <w:i w:val="0"/>
                <w:sz w:val="16"/>
              </w:rPr>
              <w:t>Enquiry.xlsx</w:t>
            </w:r>
          </w:p>
        </w:tc>
        <w:tc>
          <w:tcPr>
            <w:tcW w:type="dxa" w:w="1600"/>
            <w:tcW w:w="1600" w:type="dxa"/>
          </w:tcPr>
          <w:p>
            <w:pPr>
              <w:spacing w:after="20" w:before="20"/>
            </w:pPr>
            <w:r/>
            <w:r>
              <w:rPr>
                <w:rFonts w:ascii="Calibri" w:hAnsi="Calibri"/>
                <w:b w:val="0"/>
                <w:i w:val="0"/>
                <w:sz w:val="16"/>
              </w:rPr>
              <w:t>FETB_EDP_v1_1</w:t>
            </w:r>
          </w:p>
        </w:tc>
        <w:tc>
          <w:tcPr>
            <w:tcW w:type="dxa" w:w="1600"/>
            <w:tcW w:w="1600" w:type="dxa"/>
          </w:tcPr>
          <w:p>
            <w:pPr>
              <w:spacing w:after="20" w:before="20"/>
            </w:pPr>
            <w:r/>
            <w:r>
              <w:rPr>
                <w:rFonts w:ascii="Calibri" w:hAnsi="Calibri"/>
                <w:b w:val="0"/>
                <w:i w:val="0"/>
                <w:sz w:val="16"/>
              </w:rPr>
              <w:t>5,417</w:t>
            </w:r>
          </w:p>
        </w:tc>
        <w:tc>
          <w:tcPr>
            <w:tcW w:type="dxa" w:w="3000"/>
            <w:tcW w:w="3000" w:type="dxa"/>
          </w:tcPr>
          <w:p>
            <w:pPr>
              <w:spacing w:after="20" w:before="20"/>
            </w:pPr>
            <w:r/>
            <w:r>
              <w:rPr>
                <w:rFonts w:ascii="Calibri" w:hAnsi="Calibri"/>
                <w:b w:val="0"/>
                <w:i w:val="0"/>
                <w:sz w:val="16"/>
              </w:rPr>
              <w:t>Enquiry extract</w:t>
            </w:r>
          </w:p>
        </w:tc>
        <w:tc>
          <w:tcPr>
            <w:tcW w:type="dxa" w:w="3338"/>
            <w:tcW w:w="3338" w:type="dxa"/>
          </w:tcPr>
          <w:p>
            <w:pPr>
              <w:spacing w:after="20" w:before="20"/>
            </w:pPr>
            <w:r/>
            <w:r>
              <w:rPr>
                <w:rFonts w:ascii="Calibri" w:hAnsi="Calibri"/>
                <w:b w:val="0"/>
                <w:i w:val="0"/>
                <w:sz w:val="16"/>
              </w:rPr>
              <w:t>Pillars A, B, H</w:t>
            </w:r>
          </w:p>
        </w:tc>
      </w:tr>
      <w:tr>
        <w:tc>
          <w:tcPr>
            <w:tcW w:type="dxa" w:w="900"/>
            <w:tcW w:w="900" w:type="dxa"/>
            <w:shd w:val="clear" w:color="auto" w:fill="F2F5FA"/>
          </w:tcPr>
          <w:p>
            <w:pPr>
              <w:spacing w:after="20" w:before="20"/>
            </w:pPr>
            <w:r/>
            <w:r>
              <w:rPr>
                <w:rFonts w:ascii="Calibri" w:hAnsi="Calibri"/>
                <w:b/>
                <w:i w:val="0"/>
                <w:sz w:val="16"/>
              </w:rPr>
              <w:t>F4</w:t>
            </w:r>
          </w:p>
        </w:tc>
        <w:tc>
          <w:tcPr>
            <w:tcW w:type="dxa" w:w="5200"/>
            <w:tcW w:w="5200" w:type="dxa"/>
            <w:shd w:val="clear" w:color="auto" w:fill="F2F5FA"/>
          </w:tcPr>
          <w:p>
            <w:pPr>
              <w:spacing w:after="20" w:before="20"/>
            </w:pPr>
            <w:r/>
            <w:r>
              <w:rPr>
                <w:rFonts w:ascii="Calibri" w:hAnsi="Calibri"/>
                <w:b w:val="0"/>
                <w:i w:val="0"/>
                <w:sz w:val="16"/>
              </w:rPr>
              <w:t>Booking.xlsx</w:t>
            </w:r>
          </w:p>
        </w:tc>
        <w:tc>
          <w:tcPr>
            <w:tcW w:type="dxa" w:w="1600"/>
            <w:tcW w:w="1600" w:type="dxa"/>
            <w:shd w:val="clear" w:color="auto" w:fill="F2F5FA"/>
          </w:tcPr>
          <w:p>
            <w:pPr>
              <w:spacing w:after="20" w:before="20"/>
            </w:pPr>
            <w:r/>
            <w:r>
              <w:rPr>
                <w:rFonts w:ascii="Calibri" w:hAnsi="Calibri"/>
                <w:b w:val="0"/>
                <w:i w:val="0"/>
                <w:sz w:val="16"/>
              </w:rPr>
              <w:t>FETB_EDP_v1_1</w:t>
            </w:r>
          </w:p>
        </w:tc>
        <w:tc>
          <w:tcPr>
            <w:tcW w:type="dxa" w:w="1600"/>
            <w:tcW w:w="1600" w:type="dxa"/>
            <w:shd w:val="clear" w:color="auto" w:fill="F2F5FA"/>
          </w:tcPr>
          <w:p>
            <w:pPr>
              <w:spacing w:after="20" w:before="20"/>
            </w:pPr>
            <w:r/>
            <w:r>
              <w:rPr>
                <w:rFonts w:ascii="Calibri" w:hAnsi="Calibri"/>
                <w:b w:val="0"/>
                <w:i w:val="0"/>
                <w:sz w:val="16"/>
              </w:rPr>
              <w:t>787</w:t>
            </w:r>
          </w:p>
        </w:tc>
        <w:tc>
          <w:tcPr>
            <w:tcW w:type="dxa" w:w="3000"/>
            <w:tcW w:w="3000" w:type="dxa"/>
            <w:shd w:val="clear" w:color="auto" w:fill="F2F5FA"/>
          </w:tcPr>
          <w:p>
            <w:pPr>
              <w:spacing w:after="20" w:before="20"/>
            </w:pPr>
            <w:r/>
            <w:r>
              <w:rPr>
                <w:rFonts w:ascii="Calibri" w:hAnsi="Calibri"/>
                <w:b w:val="0"/>
                <w:i w:val="0"/>
                <w:sz w:val="16"/>
              </w:rPr>
              <w:t>Booking extract</w:t>
            </w:r>
          </w:p>
        </w:tc>
        <w:tc>
          <w:tcPr>
            <w:tcW w:type="dxa" w:w="3338"/>
            <w:tcW w:w="3338" w:type="dxa"/>
            <w:shd w:val="clear" w:color="auto" w:fill="F2F5FA"/>
          </w:tcPr>
          <w:p>
            <w:pPr>
              <w:spacing w:after="20" w:before="20"/>
            </w:pPr>
            <w:r/>
            <w:r>
              <w:rPr>
                <w:rFonts w:ascii="Calibri" w:hAnsi="Calibri"/>
                <w:b w:val="0"/>
                <w:i w:val="0"/>
                <w:sz w:val="16"/>
              </w:rPr>
              <w:t>Lines 2.2, 2.3, 3.2</w:t>
            </w:r>
          </w:p>
        </w:tc>
      </w:tr>
      <w:tr>
        <w:tc>
          <w:tcPr>
            <w:tcW w:type="dxa" w:w="900"/>
            <w:tcW w:w="900" w:type="dxa"/>
          </w:tcPr>
          <w:p>
            <w:pPr>
              <w:spacing w:after="20" w:before="20"/>
            </w:pPr>
            <w:r/>
            <w:r>
              <w:rPr>
                <w:rFonts w:ascii="Calibri" w:hAnsi="Calibri"/>
                <w:b/>
                <w:i w:val="0"/>
                <w:sz w:val="16"/>
              </w:rPr>
              <w:t>F5</w:t>
            </w:r>
          </w:p>
        </w:tc>
        <w:tc>
          <w:tcPr>
            <w:tcW w:type="dxa" w:w="5200"/>
            <w:tcW w:w="5200" w:type="dxa"/>
          </w:tcPr>
          <w:p>
            <w:pPr>
              <w:spacing w:after="20" w:before="20"/>
            </w:pPr>
            <w:r/>
            <w:r>
              <w:rPr>
                <w:rFonts w:ascii="Calibri" w:hAnsi="Calibri"/>
                <w:b w:val="0"/>
                <w:i w:val="0"/>
                <w:sz w:val="16"/>
              </w:rPr>
              <w:t>Test Drive.xlsx</w:t>
            </w:r>
          </w:p>
        </w:tc>
        <w:tc>
          <w:tcPr>
            <w:tcW w:type="dxa" w:w="1600"/>
            <w:tcW w:w="1600" w:type="dxa"/>
          </w:tcPr>
          <w:p>
            <w:pPr>
              <w:spacing w:after="20" w:before="20"/>
            </w:pPr>
            <w:r/>
            <w:r>
              <w:rPr>
                <w:rFonts w:ascii="Calibri" w:hAnsi="Calibri"/>
                <w:b w:val="0"/>
                <w:i w:val="0"/>
                <w:sz w:val="16"/>
              </w:rPr>
              <w:t>FETB_EDP_v1_1</w:t>
            </w:r>
          </w:p>
        </w:tc>
        <w:tc>
          <w:tcPr>
            <w:tcW w:type="dxa" w:w="1600"/>
            <w:tcW w:w="1600" w:type="dxa"/>
          </w:tcPr>
          <w:p>
            <w:pPr>
              <w:spacing w:after="20" w:before="20"/>
            </w:pPr>
            <w:r/>
            <w:r>
              <w:rPr>
                <w:rFonts w:ascii="Calibri" w:hAnsi="Calibri"/>
                <w:b w:val="0"/>
                <w:i w:val="0"/>
                <w:sz w:val="16"/>
              </w:rPr>
              <w:t>2,343</w:t>
            </w:r>
          </w:p>
        </w:tc>
        <w:tc>
          <w:tcPr>
            <w:tcW w:type="dxa" w:w="3000"/>
            <w:tcW w:w="3000" w:type="dxa"/>
          </w:tcPr>
          <w:p>
            <w:pPr>
              <w:spacing w:after="20" w:before="20"/>
            </w:pPr>
            <w:r/>
            <w:r>
              <w:rPr>
                <w:rFonts w:ascii="Calibri" w:hAnsi="Calibri"/>
                <w:b w:val="0"/>
                <w:i w:val="0"/>
                <w:sz w:val="16"/>
              </w:rPr>
              <w:t>Test drive extract</w:t>
            </w:r>
          </w:p>
        </w:tc>
        <w:tc>
          <w:tcPr>
            <w:tcW w:type="dxa" w:w="3338"/>
            <w:tcW w:w="3338" w:type="dxa"/>
          </w:tcPr>
          <w:p>
            <w:pPr>
              <w:spacing w:after="20" w:before="20"/>
            </w:pPr>
            <w:r/>
            <w:r>
              <w:rPr>
                <w:rFonts w:ascii="Calibri" w:hAnsi="Calibri"/>
                <w:b w:val="0"/>
                <w:i w:val="0"/>
                <w:sz w:val="16"/>
              </w:rPr>
              <w:t>Lines 2.1, 2.2, 9.1</w:t>
            </w:r>
          </w:p>
        </w:tc>
      </w:tr>
      <w:tr>
        <w:tc>
          <w:tcPr>
            <w:tcW w:type="dxa" w:w="900"/>
            <w:tcW w:w="900" w:type="dxa"/>
            <w:shd w:val="clear" w:color="auto" w:fill="F2F5FA"/>
          </w:tcPr>
          <w:p>
            <w:pPr>
              <w:spacing w:after="20" w:before="20"/>
            </w:pPr>
            <w:r/>
            <w:r>
              <w:rPr>
                <w:rFonts w:ascii="Calibri" w:hAnsi="Calibri"/>
                <w:b/>
                <w:i w:val="0"/>
                <w:sz w:val="16"/>
              </w:rPr>
              <w:t>F6</w:t>
            </w:r>
          </w:p>
        </w:tc>
        <w:tc>
          <w:tcPr>
            <w:tcW w:type="dxa" w:w="5200"/>
            <w:tcW w:w="5200" w:type="dxa"/>
            <w:shd w:val="clear" w:color="auto" w:fill="F2F5FA"/>
          </w:tcPr>
          <w:p>
            <w:pPr>
              <w:spacing w:after="20" w:before="20"/>
            </w:pPr>
            <w:r/>
            <w:r>
              <w:rPr>
                <w:rFonts w:ascii="Calibri" w:hAnsi="Calibri"/>
                <w:b w:val="0"/>
                <w:i w:val="0"/>
                <w:sz w:val="16"/>
              </w:rPr>
              <w:t>Retails.xlsx</w:t>
            </w:r>
          </w:p>
        </w:tc>
        <w:tc>
          <w:tcPr>
            <w:tcW w:type="dxa" w:w="1600"/>
            <w:tcW w:w="1600" w:type="dxa"/>
            <w:shd w:val="clear" w:color="auto" w:fill="F2F5FA"/>
          </w:tcPr>
          <w:p>
            <w:pPr>
              <w:spacing w:after="20" w:before="20"/>
            </w:pPr>
            <w:r/>
            <w:r>
              <w:rPr>
                <w:rFonts w:ascii="Calibri" w:hAnsi="Calibri"/>
                <w:b w:val="0"/>
                <w:i w:val="0"/>
                <w:sz w:val="16"/>
              </w:rPr>
              <w:t>Export</w:t>
            </w:r>
          </w:p>
        </w:tc>
        <w:tc>
          <w:tcPr>
            <w:tcW w:type="dxa" w:w="1600"/>
            <w:tcW w:w="1600" w:type="dxa"/>
            <w:shd w:val="clear" w:color="auto" w:fill="F2F5FA"/>
          </w:tcPr>
          <w:p>
            <w:pPr>
              <w:spacing w:after="20" w:before="20"/>
            </w:pPr>
            <w:r/>
            <w:r>
              <w:rPr>
                <w:rFonts w:ascii="Calibri" w:hAnsi="Calibri"/>
                <w:b w:val="0"/>
                <w:i w:val="0"/>
                <w:sz w:val="16"/>
              </w:rPr>
              <w:t>533</w:t>
            </w:r>
          </w:p>
        </w:tc>
        <w:tc>
          <w:tcPr>
            <w:tcW w:type="dxa" w:w="3000"/>
            <w:tcW w:w="3000" w:type="dxa"/>
            <w:shd w:val="clear" w:color="auto" w:fill="F2F5FA"/>
          </w:tcPr>
          <w:p>
            <w:pPr>
              <w:spacing w:after="20" w:before="20"/>
            </w:pPr>
            <w:r/>
            <w:r>
              <w:rPr>
                <w:rFonts w:ascii="Calibri" w:hAnsi="Calibri"/>
                <w:b w:val="0"/>
                <w:i w:val="0"/>
                <w:sz w:val="16"/>
              </w:rPr>
              <w:t>Retail invoice extract</w:t>
            </w:r>
          </w:p>
        </w:tc>
        <w:tc>
          <w:tcPr>
            <w:tcW w:type="dxa" w:w="3338"/>
            <w:tcW w:w="3338" w:type="dxa"/>
            <w:shd w:val="clear" w:color="auto" w:fill="F2F5FA"/>
          </w:tcPr>
          <w:p>
            <w:pPr>
              <w:spacing w:after="20" w:before="20"/>
            </w:pPr>
            <w:r/>
            <w:r>
              <w:rPr>
                <w:rFonts w:ascii="Calibri" w:hAnsi="Calibri"/>
                <w:b w:val="0"/>
                <w:i w:val="0"/>
                <w:sz w:val="16"/>
              </w:rPr>
              <w:t>Pillars C, D, E, F, G</w:t>
            </w:r>
          </w:p>
        </w:tc>
      </w:tr>
      <w:tr>
        <w:tc>
          <w:tcPr>
            <w:tcW w:type="dxa" w:w="900"/>
            <w:tcW w:w="900" w:type="dxa"/>
          </w:tcPr>
          <w:p>
            <w:pPr>
              <w:spacing w:after="20" w:before="20"/>
            </w:pPr>
            <w:r/>
            <w:r>
              <w:rPr>
                <w:rFonts w:ascii="Calibri" w:hAnsi="Calibri"/>
                <w:b/>
                <w:i w:val="0"/>
                <w:sz w:val="16"/>
              </w:rPr>
              <w:t>F7</w:t>
            </w:r>
          </w:p>
        </w:tc>
        <w:tc>
          <w:tcPr>
            <w:tcW w:type="dxa" w:w="5200"/>
            <w:tcW w:w="5200" w:type="dxa"/>
          </w:tcPr>
          <w:p>
            <w:pPr>
              <w:spacing w:after="20" w:before="20"/>
            </w:pPr>
            <w:r/>
            <w:r>
              <w:rPr>
                <w:rFonts w:ascii="Calibri" w:hAnsi="Calibri"/>
                <w:b w:val="0"/>
                <w:i w:val="0"/>
                <w:sz w:val="16"/>
              </w:rPr>
              <w:t>Enquiry Concerns.xlsx</w:t>
            </w:r>
          </w:p>
        </w:tc>
        <w:tc>
          <w:tcPr>
            <w:tcW w:type="dxa" w:w="1600"/>
            <w:tcW w:w="1600" w:type="dxa"/>
          </w:tcPr>
          <w:p>
            <w:pPr>
              <w:spacing w:after="20" w:before="20"/>
            </w:pPr>
            <w:r/>
            <w:r>
              <w:rPr>
                <w:rFonts w:ascii="Calibri" w:hAnsi="Calibri"/>
                <w:b w:val="0"/>
                <w:i w:val="0"/>
                <w:sz w:val="16"/>
              </w:rPr>
              <w:t>AD_Enquiry</w:t>
            </w:r>
          </w:p>
        </w:tc>
        <w:tc>
          <w:tcPr>
            <w:tcW w:type="dxa" w:w="1600"/>
            <w:tcW w:w="1600" w:type="dxa"/>
          </w:tcPr>
          <w:p>
            <w:pPr>
              <w:spacing w:after="20" w:before="20"/>
            </w:pPr>
            <w:r/>
            <w:r>
              <w:rPr>
                <w:rFonts w:ascii="Calibri" w:hAnsi="Calibri"/>
                <w:b w:val="0"/>
                <w:i w:val="0"/>
                <w:sz w:val="16"/>
              </w:rPr>
              <w:t>23</w:t>
            </w:r>
          </w:p>
        </w:tc>
        <w:tc>
          <w:tcPr>
            <w:tcW w:type="dxa" w:w="3000"/>
            <w:tcW w:w="3000" w:type="dxa"/>
          </w:tcPr>
          <w:p>
            <w:pPr>
              <w:spacing w:after="20" w:before="20"/>
            </w:pPr>
            <w:r/>
            <w:r>
              <w:rPr>
                <w:rFonts w:ascii="Calibri" w:hAnsi="Calibri"/>
                <w:b w:val="0"/>
                <w:i w:val="0"/>
                <w:sz w:val="16"/>
              </w:rPr>
              <w:t>Enquiry-stage complaints</w:t>
            </w:r>
          </w:p>
        </w:tc>
        <w:tc>
          <w:tcPr>
            <w:tcW w:type="dxa" w:w="3338"/>
            <w:tcW w:w="3338" w:type="dxa"/>
          </w:tcPr>
          <w:p>
            <w:pPr>
              <w:spacing w:after="20" w:before="20"/>
            </w:pPr>
            <w:r/>
            <w:r>
              <w:rPr>
                <w:rFonts w:ascii="Calibri" w:hAnsi="Calibri"/>
                <w:b w:val="0"/>
                <w:i w:val="0"/>
                <w:sz w:val="16"/>
              </w:rPr>
              <w:t>Line 7.2</w:t>
            </w:r>
          </w:p>
        </w:tc>
      </w:tr>
      <w:tr>
        <w:tc>
          <w:tcPr>
            <w:tcW w:type="dxa" w:w="900"/>
            <w:tcW w:w="900" w:type="dxa"/>
            <w:shd w:val="clear" w:color="auto" w:fill="F2F5FA"/>
          </w:tcPr>
          <w:p>
            <w:pPr>
              <w:spacing w:after="20" w:before="20"/>
            </w:pPr>
            <w:r/>
            <w:r>
              <w:rPr>
                <w:rFonts w:ascii="Calibri" w:hAnsi="Calibri"/>
                <w:b/>
                <w:i w:val="0"/>
                <w:sz w:val="16"/>
              </w:rPr>
              <w:t>F8</w:t>
            </w:r>
          </w:p>
        </w:tc>
        <w:tc>
          <w:tcPr>
            <w:tcW w:type="dxa" w:w="5200"/>
            <w:tcW w:w="5200" w:type="dxa"/>
            <w:shd w:val="clear" w:color="auto" w:fill="F2F5FA"/>
          </w:tcPr>
          <w:p>
            <w:pPr>
              <w:spacing w:after="20" w:before="20"/>
            </w:pPr>
            <w:r/>
            <w:r>
              <w:rPr>
                <w:rFonts w:ascii="Calibri" w:hAnsi="Calibri"/>
                <w:b w:val="0"/>
                <w:i w:val="0"/>
                <w:sz w:val="16"/>
              </w:rPr>
              <w:t>Test_Drive Concerns.xlsx</w:t>
            </w:r>
          </w:p>
        </w:tc>
        <w:tc>
          <w:tcPr>
            <w:tcW w:type="dxa" w:w="1600"/>
            <w:tcW w:w="1600" w:type="dxa"/>
            <w:shd w:val="clear" w:color="auto" w:fill="F2F5FA"/>
          </w:tcPr>
          <w:p>
            <w:pPr>
              <w:spacing w:after="20" w:before="20"/>
            </w:pPr>
            <w:r/>
            <w:r>
              <w:rPr>
                <w:rFonts w:ascii="Calibri" w:hAnsi="Calibri"/>
                <w:b w:val="0"/>
                <w:i w:val="0"/>
                <w:sz w:val="16"/>
              </w:rPr>
              <w:t>AD_Test_Drive</w:t>
            </w:r>
          </w:p>
        </w:tc>
        <w:tc>
          <w:tcPr>
            <w:tcW w:type="dxa" w:w="1600"/>
            <w:tcW w:w="1600" w:type="dxa"/>
            <w:shd w:val="clear" w:color="auto" w:fill="F2F5FA"/>
          </w:tcPr>
          <w:p>
            <w:pPr>
              <w:spacing w:after="20" w:before="20"/>
            </w:pPr>
            <w:r/>
            <w:r>
              <w:rPr>
                <w:rFonts w:ascii="Calibri" w:hAnsi="Calibri"/>
                <w:b w:val="0"/>
                <w:i w:val="0"/>
                <w:sz w:val="16"/>
              </w:rPr>
              <w:t>5</w:t>
            </w:r>
          </w:p>
        </w:tc>
        <w:tc>
          <w:tcPr>
            <w:tcW w:type="dxa" w:w="3000"/>
            <w:tcW w:w="3000" w:type="dxa"/>
            <w:shd w:val="clear" w:color="auto" w:fill="F2F5FA"/>
          </w:tcPr>
          <w:p>
            <w:pPr>
              <w:spacing w:after="20" w:before="20"/>
            </w:pPr>
            <w:r/>
            <w:r>
              <w:rPr>
                <w:rFonts w:ascii="Calibri" w:hAnsi="Calibri"/>
                <w:b w:val="0"/>
                <w:i w:val="0"/>
                <w:sz w:val="16"/>
              </w:rPr>
              <w:t>Test-drive complaints</w:t>
            </w:r>
          </w:p>
        </w:tc>
        <w:tc>
          <w:tcPr>
            <w:tcW w:type="dxa" w:w="3338"/>
            <w:tcW w:w="3338" w:type="dxa"/>
            <w:shd w:val="clear" w:color="auto" w:fill="F2F5FA"/>
          </w:tcPr>
          <w:p>
            <w:pPr>
              <w:spacing w:after="20" w:before="20"/>
            </w:pPr>
            <w:r/>
            <w:r>
              <w:rPr>
                <w:rFonts w:ascii="Calibri" w:hAnsi="Calibri"/>
                <w:b w:val="0"/>
                <w:i w:val="0"/>
                <w:sz w:val="16"/>
              </w:rPr>
              <w:t>Line 7.2</w:t>
            </w:r>
          </w:p>
        </w:tc>
      </w:tr>
      <w:tr>
        <w:tc>
          <w:tcPr>
            <w:tcW w:type="dxa" w:w="900"/>
            <w:tcW w:w="900" w:type="dxa"/>
          </w:tcPr>
          <w:p>
            <w:pPr>
              <w:spacing w:after="20" w:before="20"/>
            </w:pPr>
            <w:r/>
            <w:r>
              <w:rPr>
                <w:rFonts w:ascii="Calibri" w:hAnsi="Calibri"/>
                <w:b/>
                <w:i w:val="0"/>
                <w:sz w:val="16"/>
              </w:rPr>
              <w:t>F9</w:t>
            </w:r>
          </w:p>
        </w:tc>
        <w:tc>
          <w:tcPr>
            <w:tcW w:type="dxa" w:w="5200"/>
            <w:tcW w:w="5200" w:type="dxa"/>
          </w:tcPr>
          <w:p>
            <w:pPr>
              <w:spacing w:after="20" w:before="20"/>
            </w:pPr>
            <w:r/>
            <w:r>
              <w:rPr>
                <w:rFonts w:ascii="Calibri" w:hAnsi="Calibri"/>
                <w:b w:val="0"/>
                <w:i w:val="0"/>
                <w:sz w:val="16"/>
              </w:rPr>
              <w:t>New_Vehicle_Delivery_Experience.xlsx</w:t>
            </w:r>
          </w:p>
        </w:tc>
        <w:tc>
          <w:tcPr>
            <w:tcW w:type="dxa" w:w="1600"/>
            <w:tcW w:w="1600" w:type="dxa"/>
          </w:tcPr>
          <w:p>
            <w:pPr>
              <w:spacing w:after="20" w:before="20"/>
            </w:pPr>
            <w:r/>
            <w:r>
              <w:rPr>
                <w:rFonts w:ascii="Calibri" w:hAnsi="Calibri"/>
                <w:b w:val="0"/>
                <w:i w:val="0"/>
                <w:sz w:val="16"/>
              </w:rPr>
              <w:t>AD_New_Vehicle_Delivery_Experie</w:t>
            </w:r>
          </w:p>
        </w:tc>
        <w:tc>
          <w:tcPr>
            <w:tcW w:type="dxa" w:w="1600"/>
            <w:tcW w:w="1600" w:type="dxa"/>
          </w:tcPr>
          <w:p>
            <w:pPr>
              <w:spacing w:after="20" w:before="20"/>
            </w:pPr>
            <w:r/>
            <w:r>
              <w:rPr>
                <w:rFonts w:ascii="Calibri" w:hAnsi="Calibri"/>
                <w:b w:val="0"/>
                <w:i w:val="0"/>
                <w:sz w:val="16"/>
              </w:rPr>
              <w:t>9</w:t>
            </w:r>
          </w:p>
        </w:tc>
        <w:tc>
          <w:tcPr>
            <w:tcW w:type="dxa" w:w="3000"/>
            <w:tcW w:w="3000" w:type="dxa"/>
          </w:tcPr>
          <w:p>
            <w:pPr>
              <w:spacing w:after="20" w:before="20"/>
            </w:pPr>
            <w:r/>
            <w:r>
              <w:rPr>
                <w:rFonts w:ascii="Calibri" w:hAnsi="Calibri"/>
                <w:b w:val="0"/>
                <w:i w:val="0"/>
                <w:sz w:val="16"/>
              </w:rPr>
              <w:t>Delivery-experience complaints</w:t>
            </w:r>
          </w:p>
        </w:tc>
        <w:tc>
          <w:tcPr>
            <w:tcW w:type="dxa" w:w="3338"/>
            <w:tcW w:w="3338" w:type="dxa"/>
          </w:tcPr>
          <w:p>
            <w:pPr>
              <w:spacing w:after="20" w:before="20"/>
            </w:pPr>
            <w:r/>
            <w:r>
              <w:rPr>
                <w:rFonts w:ascii="Calibri" w:hAnsi="Calibri"/>
                <w:b w:val="0"/>
                <w:i w:val="0"/>
                <w:sz w:val="16"/>
              </w:rPr>
              <w:t>Line 7.2</w:t>
            </w:r>
          </w:p>
        </w:tc>
      </w:tr>
      <w:tr>
        <w:tc>
          <w:tcPr>
            <w:tcW w:type="dxa" w:w="900"/>
            <w:tcW w:w="900" w:type="dxa"/>
            <w:shd w:val="clear" w:color="auto" w:fill="F2F5FA"/>
          </w:tcPr>
          <w:p>
            <w:pPr>
              <w:spacing w:after="20" w:before="20"/>
            </w:pPr>
            <w:r/>
            <w:r>
              <w:rPr>
                <w:rFonts w:ascii="Calibri" w:hAnsi="Calibri"/>
                <w:b/>
                <w:i w:val="0"/>
                <w:sz w:val="16"/>
              </w:rPr>
              <w:t>F10</w:t>
            </w:r>
          </w:p>
        </w:tc>
        <w:tc>
          <w:tcPr>
            <w:tcW w:type="dxa" w:w="5200"/>
            <w:tcW w:w="5200" w:type="dxa"/>
            <w:shd w:val="clear" w:color="auto" w:fill="F2F5FA"/>
          </w:tcPr>
          <w:p>
            <w:pPr>
              <w:spacing w:after="20" w:before="20"/>
            </w:pPr>
            <w:r/>
            <w:r>
              <w:rPr>
                <w:rFonts w:ascii="Calibri" w:hAnsi="Calibri"/>
                <w:b w:val="0"/>
                <w:i w:val="0"/>
                <w:sz w:val="16"/>
              </w:rPr>
              <w:t>New_Vehicle_Delivery_Experience_30_Days.xlsx</w:t>
            </w:r>
          </w:p>
        </w:tc>
        <w:tc>
          <w:tcPr>
            <w:tcW w:type="dxa" w:w="1600"/>
            <w:tcW w:w="1600" w:type="dxa"/>
            <w:shd w:val="clear" w:color="auto" w:fill="F2F5FA"/>
          </w:tcPr>
          <w:p>
            <w:pPr>
              <w:spacing w:after="20" w:before="20"/>
            </w:pPr>
            <w:r/>
            <w:r>
              <w:rPr>
                <w:rFonts w:ascii="Calibri" w:hAnsi="Calibri"/>
                <w:b w:val="0"/>
                <w:i w:val="0"/>
                <w:sz w:val="16"/>
              </w:rPr>
              <w:t>AD_New_Vehicle_Delivery_Experie</w:t>
            </w:r>
          </w:p>
        </w:tc>
        <w:tc>
          <w:tcPr>
            <w:tcW w:type="dxa" w:w="1600"/>
            <w:tcW w:w="1600" w:type="dxa"/>
            <w:shd w:val="clear" w:color="auto" w:fill="F2F5FA"/>
          </w:tcPr>
          <w:p>
            <w:pPr>
              <w:spacing w:after="20" w:before="20"/>
            </w:pPr>
            <w:r/>
            <w:r>
              <w:rPr>
                <w:rFonts w:ascii="Calibri" w:hAnsi="Calibri"/>
                <w:b w:val="0"/>
                <w:i w:val="0"/>
                <w:sz w:val="16"/>
              </w:rPr>
              <w:t>2</w:t>
            </w:r>
          </w:p>
        </w:tc>
        <w:tc>
          <w:tcPr>
            <w:tcW w:type="dxa" w:w="3000"/>
            <w:tcW w:w="3000" w:type="dxa"/>
            <w:shd w:val="clear" w:color="auto" w:fill="F2F5FA"/>
          </w:tcPr>
          <w:p>
            <w:pPr>
              <w:spacing w:after="20" w:before="20"/>
            </w:pPr>
            <w:r/>
            <w:r>
              <w:rPr>
                <w:rFonts w:ascii="Calibri" w:hAnsi="Calibri"/>
                <w:b w:val="0"/>
                <w:i w:val="0"/>
                <w:sz w:val="16"/>
              </w:rPr>
              <w:t>30-day post-delivery feedback</w:t>
            </w:r>
          </w:p>
        </w:tc>
        <w:tc>
          <w:tcPr>
            <w:tcW w:type="dxa" w:w="3338"/>
            <w:tcW w:w="3338" w:type="dxa"/>
            <w:shd w:val="clear" w:color="auto" w:fill="F2F5FA"/>
          </w:tcPr>
          <w:p>
            <w:pPr>
              <w:spacing w:after="20" w:before="20"/>
            </w:pPr>
            <w:r/>
            <w:r>
              <w:rPr>
                <w:rFonts w:ascii="Calibri" w:hAnsi="Calibri"/>
                <w:b w:val="0"/>
                <w:i w:val="0"/>
                <w:sz w:val="16"/>
              </w:rPr>
              <w:t>Line 7.2</w:t>
            </w:r>
          </w:p>
        </w:tc>
      </w:tr>
      <w:tr>
        <w:tc>
          <w:tcPr>
            <w:tcW w:type="dxa" w:w="900"/>
            <w:tcW w:w="900" w:type="dxa"/>
          </w:tcPr>
          <w:p>
            <w:pPr>
              <w:spacing w:after="20" w:before="20"/>
            </w:pPr>
            <w:r/>
            <w:r>
              <w:rPr>
                <w:rFonts w:ascii="Calibri" w:hAnsi="Calibri"/>
                <w:b/>
                <w:i w:val="0"/>
                <w:sz w:val="16"/>
              </w:rPr>
              <w:t>F12</w:t>
            </w:r>
          </w:p>
        </w:tc>
        <w:tc>
          <w:tcPr>
            <w:tcW w:type="dxa" w:w="5200"/>
            <w:tcW w:w="5200" w:type="dxa"/>
          </w:tcPr>
          <w:p>
            <w:pPr>
              <w:spacing w:after="20" w:before="20"/>
            </w:pPr>
            <w:r/>
            <w:r>
              <w:rPr>
                <w:rFonts w:ascii="Calibri" w:hAnsi="Calibri"/>
                <w:b w:val="0"/>
                <w:i w:val="0"/>
                <w:sz w:val="16"/>
              </w:rPr>
              <w:t>Sales_Target_-_Clean.xlsx</w:t>
            </w:r>
          </w:p>
        </w:tc>
        <w:tc>
          <w:tcPr>
            <w:tcW w:type="dxa" w:w="1600"/>
            <w:tcW w:w="1600" w:type="dxa"/>
          </w:tcPr>
          <w:p>
            <w:pPr>
              <w:spacing w:after="20" w:before="20"/>
            </w:pPr>
            <w:r/>
            <w:r>
              <w:rPr>
                <w:rFonts w:ascii="Calibri" w:hAnsi="Calibri"/>
                <w:b w:val="0"/>
                <w:i w:val="0"/>
                <w:sz w:val="16"/>
              </w:rPr>
              <w:t>Personal_Clean</w:t>
            </w:r>
          </w:p>
        </w:tc>
        <w:tc>
          <w:tcPr>
            <w:tcW w:type="dxa" w:w="1600"/>
            <w:tcW w:w="1600" w:type="dxa"/>
          </w:tcPr>
          <w:p>
            <w:pPr>
              <w:spacing w:after="20" w:before="20"/>
            </w:pPr>
            <w:r/>
            <w:r>
              <w:rPr>
                <w:rFonts w:ascii="Calibri" w:hAnsi="Calibri"/>
                <w:b w:val="0"/>
                <w:i w:val="0"/>
                <w:sz w:val="16"/>
              </w:rPr>
              <w:t>77</w:t>
            </w:r>
          </w:p>
        </w:tc>
        <w:tc>
          <w:tcPr>
            <w:tcW w:type="dxa" w:w="3000"/>
            <w:tcW w:w="3000" w:type="dxa"/>
          </w:tcPr>
          <w:p>
            <w:pPr>
              <w:spacing w:after="20" w:before="20"/>
            </w:pPr>
            <w:r/>
            <w:r>
              <w:rPr>
                <w:rFonts w:ascii="Calibri" w:hAnsi="Calibri"/>
                <w:b w:val="0"/>
                <w:i w:val="0"/>
                <w:sz w:val="16"/>
              </w:rPr>
              <w:t>Sales target by location and manager</w:t>
            </w:r>
          </w:p>
        </w:tc>
        <w:tc>
          <w:tcPr>
            <w:tcW w:type="dxa" w:w="3338"/>
            <w:tcW w:w="3338" w:type="dxa"/>
          </w:tcPr>
          <w:p>
            <w:pPr>
              <w:spacing w:after="20" w:before="20"/>
            </w:pPr>
            <w:r/>
            <w:r>
              <w:rPr>
                <w:rFonts w:ascii="Calibri" w:hAnsi="Calibri"/>
                <w:b w:val="0"/>
                <w:i w:val="0"/>
                <w:sz w:val="16"/>
              </w:rPr>
              <w:t>Lines 1.1, 3.1, 3.5, 3.6</w:t>
            </w:r>
          </w:p>
        </w:tc>
      </w:tr>
      <w:tr>
        <w:tc>
          <w:tcPr>
            <w:tcW w:type="dxa" w:w="900"/>
            <w:tcW w:w="900" w:type="dxa"/>
            <w:shd w:val="clear" w:color="auto" w:fill="F2F5FA"/>
          </w:tcPr>
          <w:p>
            <w:pPr>
              <w:spacing w:after="20" w:before="20"/>
            </w:pPr>
            <w:r/>
            <w:r>
              <w:rPr>
                <w:rFonts w:ascii="Calibri" w:hAnsi="Calibri"/>
                <w:b/>
                <w:i w:val="0"/>
                <w:sz w:val="16"/>
              </w:rPr>
              <w:t>F11</w:t>
            </w:r>
          </w:p>
        </w:tc>
        <w:tc>
          <w:tcPr>
            <w:tcW w:type="dxa" w:w="5200"/>
            <w:tcW w:w="5200" w:type="dxa"/>
            <w:shd w:val="clear" w:color="auto" w:fill="F2F5FA"/>
          </w:tcPr>
          <w:p>
            <w:pPr>
              <w:spacing w:after="20" w:before="20"/>
            </w:pPr>
            <w:r/>
            <w:r>
              <w:rPr>
                <w:rFonts w:ascii="Calibri" w:hAnsi="Calibri"/>
                <w:b w:val="0"/>
                <w:i w:val="0"/>
                <w:sz w:val="16"/>
              </w:rPr>
              <w:t>physical_audit_sheet.xlsx</w:t>
            </w:r>
          </w:p>
        </w:tc>
        <w:tc>
          <w:tcPr>
            <w:tcW w:type="dxa" w:w="1600"/>
            <w:tcW w:w="1600" w:type="dxa"/>
            <w:shd w:val="clear" w:color="auto" w:fill="F2F5FA"/>
          </w:tcPr>
          <w:p>
            <w:pPr>
              <w:spacing w:after="20" w:before="20"/>
            </w:pPr>
            <w:r/>
            <w:r>
              <w:rPr>
                <w:rFonts w:ascii="Calibri" w:hAnsi="Calibri"/>
                <w:b w:val="0"/>
                <w:i w:val="0"/>
                <w:sz w:val="16"/>
              </w:rPr>
              <w:t>—</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Physical Audit Sheet (completed)</w:t>
            </w:r>
          </w:p>
        </w:tc>
        <w:tc>
          <w:tcPr>
            <w:tcW w:type="dxa" w:w="3338"/>
            <w:tcW w:w="3338" w:type="dxa"/>
            <w:shd w:val="clear" w:color="auto" w:fill="F2F5FA"/>
          </w:tcPr>
          <w:p>
            <w:pPr>
              <w:spacing w:after="20" w:before="20"/>
            </w:pPr>
            <w:r/>
            <w:r>
              <w:rPr>
                <w:rFonts w:ascii="Calibri" w:hAnsi="Calibri"/>
                <w:b w:val="0"/>
                <w:i w:val="0"/>
                <w:sz w:val="16"/>
              </w:rPr>
              <w:t>NOT SUPPLIED</w:t>
            </w:r>
          </w:p>
        </w:tc>
      </w:tr>
      <w:tr>
        <w:tc>
          <w:tcPr>
            <w:tcW w:type="dxa" w:w="900"/>
            <w:tcW w:w="900" w:type="dxa"/>
          </w:tcPr>
          <w:p>
            <w:pPr>
              <w:spacing w:after="20" w:before="20"/>
            </w:pPr>
            <w:r/>
            <w:r>
              <w:rPr>
                <w:rFonts w:ascii="Calibri" w:hAnsi="Calibri"/>
                <w:b/>
                <w:i w:val="0"/>
                <w:sz w:val="16"/>
              </w:rPr>
              <w:t>—</w:t>
            </w:r>
          </w:p>
        </w:tc>
        <w:tc>
          <w:tcPr>
            <w:tcW w:type="dxa" w:w="5200"/>
            <w:tcW w:w="5200" w:type="dxa"/>
          </w:tcPr>
          <w:p>
            <w:pPr>
              <w:spacing w:after="20" w:before="20"/>
            </w:pPr>
            <w:r/>
            <w:r>
              <w:rPr>
                <w:rFonts w:ascii="Calibri" w:hAnsi="Calibri"/>
                <w:b w:val="0"/>
                <w:i w:val="0"/>
                <w:sz w:val="16"/>
              </w:rPr>
              <w:t>Enquiry target by month and branch</w:t>
            </w:r>
          </w:p>
        </w:tc>
        <w:tc>
          <w:tcPr>
            <w:tcW w:type="dxa" w:w="1600"/>
            <w:tcW w:w="1600" w:type="dxa"/>
          </w:tcPr>
          <w:p>
            <w:pPr>
              <w:spacing w:after="20" w:before="20"/>
            </w:pPr>
            <w:r/>
            <w:r>
              <w:rPr>
                <w:rFonts w:ascii="Calibri" w:hAnsi="Calibri"/>
                <w:b w:val="0"/>
                <w:i w:val="0"/>
                <w:sz w:val="16"/>
              </w:rPr>
              <w:t>Not supplied</w:t>
            </w:r>
          </w:p>
        </w:tc>
        <w:tc>
          <w:tcPr>
            <w:tcW w:type="dxa" w:w="1600"/>
            <w:tcW w:w="1600" w:type="dxa"/>
          </w:tcPr>
          <w:p>
            <w:pPr>
              <w:spacing w:after="20" w:before="20"/>
            </w:pPr>
            <w:r/>
            <w:r>
              <w:rPr>
                <w:rFonts w:ascii="Calibri" w:hAnsi="Calibri"/>
                <w:b w:val="0"/>
                <w:i w:val="0"/>
                <w:sz w:val="16"/>
              </w:rPr>
              <w:t>—</w:t>
            </w:r>
          </w:p>
        </w:tc>
        <w:tc>
          <w:tcPr>
            <w:tcW w:type="dxa" w:w="3000"/>
            <w:tcW w:w="3000" w:type="dxa"/>
          </w:tcPr>
          <w:p>
            <w:pPr>
              <w:spacing w:after="20" w:before="20"/>
            </w:pPr>
            <w:r/>
            <w:r>
              <w:rPr>
                <w:rFonts w:ascii="Calibri" w:hAnsi="Calibri"/>
                <w:b w:val="0"/>
                <w:i w:val="0"/>
                <w:sz w:val="16"/>
              </w:rPr>
              <w:t>Reference data</w:t>
            </w:r>
          </w:p>
        </w:tc>
        <w:tc>
          <w:tcPr>
            <w:tcW w:type="dxa" w:w="3338"/>
            <w:tcW w:w="3338" w:type="dxa"/>
          </w:tcPr>
          <w:p>
            <w:pPr>
              <w:spacing w:after="20" w:before="20"/>
            </w:pPr>
            <w:r/>
            <w:r>
              <w:rPr>
                <w:rFonts w:ascii="Calibri" w:hAnsi="Calibri"/>
                <w:b w:val="0"/>
                <w:i w:val="0"/>
                <w:sz w:val="16"/>
              </w:rPr>
              <w:t>Lines left unscored without it</w:t>
            </w:r>
          </w:p>
        </w:tc>
      </w:tr>
      <w:tr>
        <w:tc>
          <w:tcPr>
            <w:tcW w:type="dxa" w:w="900"/>
            <w:tcW w:w="900" w:type="dxa"/>
            <w:shd w:val="clear" w:color="auto" w:fill="F2F5FA"/>
          </w:tcPr>
          <w:p>
            <w:pPr>
              <w:spacing w:after="20" w:before="20"/>
            </w:pPr>
            <w:r/>
            <w:r>
              <w:rPr>
                <w:rFonts w:ascii="Calibri" w:hAnsi="Calibri"/>
                <w:b/>
                <w:i w:val="0"/>
                <w:sz w:val="16"/>
              </w:rPr>
              <w:t>—</w:t>
            </w:r>
          </w:p>
        </w:tc>
        <w:tc>
          <w:tcPr>
            <w:tcW w:type="dxa" w:w="5200"/>
            <w:tcW w:w="5200" w:type="dxa"/>
            <w:shd w:val="clear" w:color="auto" w:fill="F2F5FA"/>
          </w:tcPr>
          <w:p>
            <w:pPr>
              <w:spacing w:after="20" w:before="20"/>
            </w:pPr>
            <w:r/>
            <w:r>
              <w:rPr>
                <w:rFonts w:ascii="Calibri" w:hAnsi="Calibri"/>
                <w:b w:val="0"/>
                <w:i w:val="0"/>
                <w:sz w:val="16"/>
              </w:rPr>
              <w:t>Retail target by month and branch</w:t>
            </w:r>
          </w:p>
        </w:tc>
        <w:tc>
          <w:tcPr>
            <w:tcW w:type="dxa" w:w="1600"/>
            <w:tcW w:w="1600" w:type="dxa"/>
            <w:shd w:val="clear" w:color="auto" w:fill="F2F5FA"/>
          </w:tcPr>
          <w:p>
            <w:pPr>
              <w:spacing w:after="20" w:before="20"/>
            </w:pPr>
            <w:r/>
            <w:r>
              <w:rPr>
                <w:rFonts w:ascii="Calibri" w:hAnsi="Calibri"/>
                <w:b w:val="0"/>
                <w:i w:val="0"/>
                <w:sz w:val="16"/>
              </w:rPr>
              <w:t>Not supplied</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Reference data</w:t>
            </w:r>
          </w:p>
        </w:tc>
        <w:tc>
          <w:tcPr>
            <w:tcW w:type="dxa" w:w="3338"/>
            <w:tcW w:w="3338" w:type="dxa"/>
            <w:shd w:val="clear" w:color="auto" w:fill="F2F5FA"/>
          </w:tcPr>
          <w:p>
            <w:pPr>
              <w:spacing w:after="20" w:before="20"/>
            </w:pPr>
            <w:r/>
            <w:r>
              <w:rPr>
                <w:rFonts w:ascii="Calibri" w:hAnsi="Calibri"/>
                <w:b w:val="0"/>
                <w:i w:val="0"/>
                <w:sz w:val="16"/>
              </w:rPr>
              <w:t>Lines left unscored without it</w:t>
            </w:r>
          </w:p>
        </w:tc>
      </w:tr>
      <w:tr>
        <w:tc>
          <w:tcPr>
            <w:tcW w:type="dxa" w:w="900"/>
            <w:tcW w:w="900" w:type="dxa"/>
          </w:tcPr>
          <w:p>
            <w:pPr>
              <w:spacing w:after="20" w:before="20"/>
            </w:pPr>
            <w:r/>
            <w:r>
              <w:rPr>
                <w:rFonts w:ascii="Calibri" w:hAnsi="Calibri"/>
                <w:b/>
                <w:i w:val="0"/>
                <w:sz w:val="16"/>
              </w:rPr>
              <w:t>—</w:t>
            </w:r>
          </w:p>
        </w:tc>
        <w:tc>
          <w:tcPr>
            <w:tcW w:type="dxa" w:w="5200"/>
            <w:tcW w:w="5200" w:type="dxa"/>
          </w:tcPr>
          <w:p>
            <w:pPr>
              <w:spacing w:after="20" w:before="20"/>
            </w:pPr>
            <w:r/>
            <w:r>
              <w:rPr>
                <w:rFonts w:ascii="Calibri" w:hAnsi="Calibri"/>
                <w:b w:val="0"/>
                <w:i w:val="0"/>
                <w:sz w:val="16"/>
              </w:rPr>
              <w:t>VAHAN registration data for the territory</w:t>
            </w:r>
          </w:p>
        </w:tc>
        <w:tc>
          <w:tcPr>
            <w:tcW w:type="dxa" w:w="1600"/>
            <w:tcW w:w="1600" w:type="dxa"/>
          </w:tcPr>
          <w:p>
            <w:pPr>
              <w:spacing w:after="20" w:before="20"/>
            </w:pPr>
            <w:r/>
            <w:r>
              <w:rPr>
                <w:rFonts w:ascii="Calibri" w:hAnsi="Calibri"/>
                <w:b w:val="0"/>
                <w:i w:val="0"/>
                <w:sz w:val="16"/>
              </w:rPr>
              <w:t>Not supplied</w:t>
            </w:r>
          </w:p>
        </w:tc>
        <w:tc>
          <w:tcPr>
            <w:tcW w:type="dxa" w:w="1600"/>
            <w:tcW w:w="1600" w:type="dxa"/>
          </w:tcPr>
          <w:p>
            <w:pPr>
              <w:spacing w:after="20" w:before="20"/>
            </w:pPr>
            <w:r/>
            <w:r>
              <w:rPr>
                <w:rFonts w:ascii="Calibri" w:hAnsi="Calibri"/>
                <w:b w:val="0"/>
                <w:i w:val="0"/>
                <w:sz w:val="16"/>
              </w:rPr>
              <w:t>—</w:t>
            </w:r>
          </w:p>
        </w:tc>
        <w:tc>
          <w:tcPr>
            <w:tcW w:type="dxa" w:w="3000"/>
            <w:tcW w:w="3000" w:type="dxa"/>
          </w:tcPr>
          <w:p>
            <w:pPr>
              <w:spacing w:after="20" w:before="20"/>
            </w:pPr>
            <w:r/>
            <w:r>
              <w:rPr>
                <w:rFonts w:ascii="Calibri" w:hAnsi="Calibri"/>
                <w:b w:val="0"/>
                <w:i w:val="0"/>
                <w:sz w:val="16"/>
              </w:rPr>
              <w:t>Reference data</w:t>
            </w:r>
          </w:p>
        </w:tc>
        <w:tc>
          <w:tcPr>
            <w:tcW w:type="dxa" w:w="3338"/>
            <w:tcW w:w="3338" w:type="dxa"/>
          </w:tcPr>
          <w:p>
            <w:pPr>
              <w:spacing w:after="20" w:before="20"/>
            </w:pPr>
            <w:r/>
            <w:r>
              <w:rPr>
                <w:rFonts w:ascii="Calibri" w:hAnsi="Calibri"/>
                <w:b w:val="0"/>
                <w:i w:val="0"/>
                <w:sz w:val="16"/>
              </w:rPr>
              <w:t>Lines left unscored without it</w:t>
            </w:r>
          </w:p>
        </w:tc>
      </w:tr>
      <w:tr>
        <w:tc>
          <w:tcPr>
            <w:tcW w:type="dxa" w:w="900"/>
            <w:tcW w:w="900" w:type="dxa"/>
            <w:shd w:val="clear" w:color="auto" w:fill="F2F5FA"/>
          </w:tcPr>
          <w:p>
            <w:pPr>
              <w:spacing w:after="20" w:before="20"/>
            </w:pPr>
            <w:r/>
            <w:r>
              <w:rPr>
                <w:rFonts w:ascii="Calibri" w:hAnsi="Calibri"/>
                <w:b/>
                <w:i w:val="0"/>
                <w:sz w:val="16"/>
              </w:rPr>
              <w:t>—</w:t>
            </w:r>
          </w:p>
        </w:tc>
        <w:tc>
          <w:tcPr>
            <w:tcW w:type="dxa" w:w="5200"/>
            <w:tcW w:w="5200" w:type="dxa"/>
            <w:shd w:val="clear" w:color="auto" w:fill="F2F5FA"/>
          </w:tcPr>
          <w:p>
            <w:pPr>
              <w:spacing w:after="20" w:before="20"/>
            </w:pPr>
            <w:r/>
            <w:r>
              <w:rPr>
                <w:rFonts w:ascii="Calibri" w:hAnsi="Calibri"/>
                <w:b w:val="0"/>
                <w:i w:val="0"/>
                <w:sz w:val="16"/>
              </w:rPr>
              <w:t>Sanctioned manpower roster</w:t>
            </w:r>
          </w:p>
        </w:tc>
        <w:tc>
          <w:tcPr>
            <w:tcW w:type="dxa" w:w="1600"/>
            <w:tcW w:w="1600" w:type="dxa"/>
            <w:shd w:val="clear" w:color="auto" w:fill="F2F5FA"/>
          </w:tcPr>
          <w:p>
            <w:pPr>
              <w:spacing w:after="20" w:before="20"/>
            </w:pPr>
            <w:r/>
            <w:r>
              <w:rPr>
                <w:rFonts w:ascii="Calibri" w:hAnsi="Calibri"/>
                <w:b w:val="0"/>
                <w:i w:val="0"/>
                <w:sz w:val="16"/>
              </w:rPr>
              <w:t>Not supplied</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Reference data</w:t>
            </w:r>
          </w:p>
        </w:tc>
        <w:tc>
          <w:tcPr>
            <w:tcW w:type="dxa" w:w="3338"/>
            <w:tcW w:w="3338" w:type="dxa"/>
            <w:shd w:val="clear" w:color="auto" w:fill="F2F5FA"/>
          </w:tcPr>
          <w:p>
            <w:pPr>
              <w:spacing w:after="20" w:before="20"/>
            </w:pPr>
            <w:r/>
            <w:r>
              <w:rPr>
                <w:rFonts w:ascii="Calibri" w:hAnsi="Calibri"/>
                <w:b w:val="0"/>
                <w:i w:val="0"/>
                <w:sz w:val="16"/>
              </w:rPr>
              <w:t>Lines left unscored without it</w:t>
            </w:r>
          </w:p>
        </w:tc>
      </w:tr>
      <w:tr>
        <w:tc>
          <w:tcPr>
            <w:tcW w:type="dxa" w:w="900"/>
            <w:tcW w:w="900" w:type="dxa"/>
          </w:tcPr>
          <w:p>
            <w:pPr>
              <w:spacing w:after="20" w:before="20"/>
            </w:pPr>
            <w:r/>
            <w:r>
              <w:rPr>
                <w:rFonts w:ascii="Calibri" w:hAnsi="Calibri"/>
                <w:b/>
                <w:i w:val="0"/>
                <w:sz w:val="16"/>
              </w:rPr>
              <w:t>—</w:t>
            </w:r>
          </w:p>
        </w:tc>
        <w:tc>
          <w:tcPr>
            <w:tcW w:type="dxa" w:w="5200"/>
            <w:tcW w:w="5200" w:type="dxa"/>
          </w:tcPr>
          <w:p>
            <w:pPr>
              <w:spacing w:after="20" w:before="20"/>
            </w:pPr>
            <w:r/>
            <w:r>
              <w:rPr>
                <w:rFonts w:ascii="Calibri" w:hAnsi="Calibri"/>
                <w:b w:val="0"/>
                <w:i w:val="0"/>
                <w:sz w:val="16"/>
              </w:rPr>
              <w:t>Stock statement with ageing</w:t>
            </w:r>
          </w:p>
        </w:tc>
        <w:tc>
          <w:tcPr>
            <w:tcW w:type="dxa" w:w="1600"/>
            <w:tcW w:w="1600" w:type="dxa"/>
          </w:tcPr>
          <w:p>
            <w:pPr>
              <w:spacing w:after="20" w:before="20"/>
            </w:pPr>
            <w:r/>
            <w:r>
              <w:rPr>
                <w:rFonts w:ascii="Calibri" w:hAnsi="Calibri"/>
                <w:b w:val="0"/>
                <w:i w:val="0"/>
                <w:sz w:val="16"/>
              </w:rPr>
              <w:t>Not supplied</w:t>
            </w:r>
          </w:p>
        </w:tc>
        <w:tc>
          <w:tcPr>
            <w:tcW w:type="dxa" w:w="1600"/>
            <w:tcW w:w="1600" w:type="dxa"/>
          </w:tcPr>
          <w:p>
            <w:pPr>
              <w:spacing w:after="20" w:before="20"/>
            </w:pPr>
            <w:r/>
            <w:r>
              <w:rPr>
                <w:rFonts w:ascii="Calibri" w:hAnsi="Calibri"/>
                <w:b w:val="0"/>
                <w:i w:val="0"/>
                <w:sz w:val="16"/>
              </w:rPr>
              <w:t>—</w:t>
            </w:r>
          </w:p>
        </w:tc>
        <w:tc>
          <w:tcPr>
            <w:tcW w:type="dxa" w:w="3000"/>
            <w:tcW w:w="3000" w:type="dxa"/>
          </w:tcPr>
          <w:p>
            <w:pPr>
              <w:spacing w:after="20" w:before="20"/>
            </w:pPr>
            <w:r/>
            <w:r>
              <w:rPr>
                <w:rFonts w:ascii="Calibri" w:hAnsi="Calibri"/>
                <w:b w:val="0"/>
                <w:i w:val="0"/>
                <w:sz w:val="16"/>
              </w:rPr>
              <w:t>Reference data</w:t>
            </w:r>
          </w:p>
        </w:tc>
        <w:tc>
          <w:tcPr>
            <w:tcW w:type="dxa" w:w="3338"/>
            <w:tcW w:w="3338" w:type="dxa"/>
          </w:tcPr>
          <w:p>
            <w:pPr>
              <w:spacing w:after="20" w:before="20"/>
            </w:pPr>
            <w:r/>
            <w:r>
              <w:rPr>
                <w:rFonts w:ascii="Calibri" w:hAnsi="Calibri"/>
                <w:b w:val="0"/>
                <w:i w:val="0"/>
                <w:sz w:val="16"/>
              </w:rPr>
              <w:t>Lines left unscored without it</w:t>
            </w:r>
          </w:p>
        </w:tc>
      </w:tr>
      <w:tr>
        <w:tc>
          <w:tcPr>
            <w:tcW w:type="dxa" w:w="900"/>
            <w:tcW w:w="900" w:type="dxa"/>
            <w:shd w:val="clear" w:color="auto" w:fill="F2F5FA"/>
          </w:tcPr>
          <w:p>
            <w:pPr>
              <w:spacing w:after="20" w:before="20"/>
            </w:pPr>
            <w:r/>
            <w:r>
              <w:rPr>
                <w:rFonts w:ascii="Calibri" w:hAnsi="Calibri"/>
                <w:b/>
                <w:i w:val="0"/>
                <w:sz w:val="16"/>
              </w:rPr>
              <w:t>—</w:t>
            </w:r>
          </w:p>
        </w:tc>
        <w:tc>
          <w:tcPr>
            <w:tcW w:type="dxa" w:w="5200"/>
            <w:tcW w:w="5200" w:type="dxa"/>
            <w:shd w:val="clear" w:color="auto" w:fill="F2F5FA"/>
          </w:tcPr>
          <w:p>
            <w:pPr>
              <w:spacing w:after="20" w:before="20"/>
            </w:pPr>
            <w:r/>
            <w:r>
              <w:rPr>
                <w:rFonts w:ascii="Calibri" w:hAnsi="Calibri"/>
                <w:b w:val="0"/>
                <w:i w:val="0"/>
                <w:sz w:val="16"/>
              </w:rPr>
              <w:t>NVD / SSI score report (only complaint extracts supplied)</w:t>
            </w:r>
          </w:p>
        </w:tc>
        <w:tc>
          <w:tcPr>
            <w:tcW w:type="dxa" w:w="1600"/>
            <w:tcW w:w="1600" w:type="dxa"/>
            <w:shd w:val="clear" w:color="auto" w:fill="F2F5FA"/>
          </w:tcPr>
          <w:p>
            <w:pPr>
              <w:spacing w:after="20" w:before="20"/>
            </w:pPr>
            <w:r/>
            <w:r>
              <w:rPr>
                <w:rFonts w:ascii="Calibri" w:hAnsi="Calibri"/>
                <w:b w:val="0"/>
                <w:i w:val="0"/>
                <w:sz w:val="16"/>
              </w:rPr>
              <w:t>Not supplied</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Reference data</w:t>
            </w:r>
          </w:p>
        </w:tc>
        <w:tc>
          <w:tcPr>
            <w:tcW w:type="dxa" w:w="3338"/>
            <w:tcW w:w="3338" w:type="dxa"/>
            <w:shd w:val="clear" w:color="auto" w:fill="F2F5FA"/>
          </w:tcPr>
          <w:p>
            <w:pPr>
              <w:spacing w:after="20" w:before="20"/>
            </w:pPr>
            <w:r/>
            <w:r>
              <w:rPr>
                <w:rFonts w:ascii="Calibri" w:hAnsi="Calibri"/>
                <w:b w:val="0"/>
                <w:i w:val="0"/>
                <w:sz w:val="16"/>
              </w:rPr>
              <w:t>Lines left unscored without it</w:t>
            </w:r>
          </w:p>
        </w:tc>
      </w:tr>
      <w:tr>
        <w:tc>
          <w:tcPr>
            <w:tcW w:type="dxa" w:w="900"/>
            <w:tcW w:w="900" w:type="dxa"/>
          </w:tcPr>
          <w:p>
            <w:pPr>
              <w:spacing w:after="20" w:before="20"/>
            </w:pPr>
            <w:r/>
            <w:r>
              <w:rPr>
                <w:rFonts w:ascii="Calibri" w:hAnsi="Calibri"/>
                <w:b/>
                <w:i w:val="0"/>
                <w:sz w:val="16"/>
              </w:rPr>
              <w:t>—</w:t>
            </w:r>
          </w:p>
        </w:tc>
        <w:tc>
          <w:tcPr>
            <w:tcW w:type="dxa" w:w="5200"/>
            <w:tcW w:w="5200" w:type="dxa"/>
          </w:tcPr>
          <w:p>
            <w:pPr>
              <w:spacing w:after="20" w:before="20"/>
            </w:pPr>
            <w:r/>
            <w:r>
              <w:rPr>
                <w:rFonts w:ascii="Calibri" w:hAnsi="Calibri"/>
                <w:b w:val="0"/>
                <w:i w:val="0"/>
                <w:sz w:val="16"/>
              </w:rPr>
              <w:t>Escalation log with TAT</w:t>
            </w:r>
          </w:p>
        </w:tc>
        <w:tc>
          <w:tcPr>
            <w:tcW w:type="dxa" w:w="1600"/>
            <w:tcW w:w="1600" w:type="dxa"/>
          </w:tcPr>
          <w:p>
            <w:pPr>
              <w:spacing w:after="20" w:before="20"/>
            </w:pPr>
            <w:r/>
            <w:r>
              <w:rPr>
                <w:rFonts w:ascii="Calibri" w:hAnsi="Calibri"/>
                <w:b w:val="0"/>
                <w:i w:val="0"/>
                <w:sz w:val="16"/>
              </w:rPr>
              <w:t>Not supplied</w:t>
            </w:r>
          </w:p>
        </w:tc>
        <w:tc>
          <w:tcPr>
            <w:tcW w:type="dxa" w:w="1600"/>
            <w:tcW w:w="1600" w:type="dxa"/>
          </w:tcPr>
          <w:p>
            <w:pPr>
              <w:spacing w:after="20" w:before="20"/>
            </w:pPr>
            <w:r/>
            <w:r>
              <w:rPr>
                <w:rFonts w:ascii="Calibri" w:hAnsi="Calibri"/>
                <w:b w:val="0"/>
                <w:i w:val="0"/>
                <w:sz w:val="16"/>
              </w:rPr>
              <w:t>—</w:t>
            </w:r>
          </w:p>
        </w:tc>
        <w:tc>
          <w:tcPr>
            <w:tcW w:type="dxa" w:w="3000"/>
            <w:tcW w:w="3000" w:type="dxa"/>
          </w:tcPr>
          <w:p>
            <w:pPr>
              <w:spacing w:after="20" w:before="20"/>
            </w:pPr>
            <w:r/>
            <w:r>
              <w:rPr>
                <w:rFonts w:ascii="Calibri" w:hAnsi="Calibri"/>
                <w:b w:val="0"/>
                <w:i w:val="0"/>
                <w:sz w:val="16"/>
              </w:rPr>
              <w:t>Reference data</w:t>
            </w:r>
          </w:p>
        </w:tc>
        <w:tc>
          <w:tcPr>
            <w:tcW w:type="dxa" w:w="3338"/>
            <w:tcW w:w="3338" w:type="dxa"/>
          </w:tcPr>
          <w:p>
            <w:pPr>
              <w:spacing w:after="20" w:before="20"/>
            </w:pPr>
            <w:r/>
            <w:r>
              <w:rPr>
                <w:rFonts w:ascii="Calibri" w:hAnsi="Calibri"/>
                <w:b w:val="0"/>
                <w:i w:val="0"/>
                <w:sz w:val="16"/>
              </w:rPr>
              <w:t>Lines left unscored without it</w:t>
            </w:r>
          </w:p>
        </w:tc>
      </w:tr>
      <w:tr>
        <w:tc>
          <w:tcPr>
            <w:tcW w:type="dxa" w:w="900"/>
            <w:tcW w:w="900" w:type="dxa"/>
            <w:shd w:val="clear" w:color="auto" w:fill="F2F5FA"/>
          </w:tcPr>
          <w:p>
            <w:pPr>
              <w:spacing w:after="20" w:before="20"/>
            </w:pPr>
            <w:r/>
            <w:r>
              <w:rPr>
                <w:rFonts w:ascii="Calibri" w:hAnsi="Calibri"/>
                <w:b/>
                <w:i w:val="0"/>
                <w:sz w:val="16"/>
              </w:rPr>
              <w:t>—</w:t>
            </w:r>
          </w:p>
        </w:tc>
        <w:tc>
          <w:tcPr>
            <w:tcW w:type="dxa" w:w="5200"/>
            <w:tcW w:w="5200" w:type="dxa"/>
            <w:shd w:val="clear" w:color="auto" w:fill="F2F5FA"/>
          </w:tcPr>
          <w:p>
            <w:pPr>
              <w:spacing w:after="20" w:before="20"/>
            </w:pPr>
            <w:r/>
            <w:r>
              <w:rPr>
                <w:rFonts w:ascii="Calibri" w:hAnsi="Calibri"/>
                <w:b w:val="0"/>
                <w:i w:val="0"/>
                <w:sz w:val="16"/>
              </w:rPr>
              <w:t>Gate entry / showroom footfall register</w:t>
            </w:r>
          </w:p>
        </w:tc>
        <w:tc>
          <w:tcPr>
            <w:tcW w:type="dxa" w:w="1600"/>
            <w:tcW w:w="1600" w:type="dxa"/>
            <w:shd w:val="clear" w:color="auto" w:fill="F2F5FA"/>
          </w:tcPr>
          <w:p>
            <w:pPr>
              <w:spacing w:after="20" w:before="20"/>
            </w:pPr>
            <w:r/>
            <w:r>
              <w:rPr>
                <w:rFonts w:ascii="Calibri" w:hAnsi="Calibri"/>
                <w:b w:val="0"/>
                <w:i w:val="0"/>
                <w:sz w:val="16"/>
              </w:rPr>
              <w:t>Not supplied</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Reference data</w:t>
            </w:r>
          </w:p>
        </w:tc>
        <w:tc>
          <w:tcPr>
            <w:tcW w:type="dxa" w:w="3338"/>
            <w:tcW w:w="3338" w:type="dxa"/>
            <w:shd w:val="clear" w:color="auto" w:fill="F2F5FA"/>
          </w:tcPr>
          <w:p>
            <w:pPr>
              <w:spacing w:after="20" w:before="20"/>
            </w:pPr>
            <w:r/>
            <w:r>
              <w:rPr>
                <w:rFonts w:ascii="Calibri" w:hAnsi="Calibri"/>
                <w:b w:val="0"/>
                <w:i w:val="0"/>
                <w:sz w:val="16"/>
              </w:rPr>
              <w:t>Lines left unscored without it</w:t>
            </w:r>
          </w:p>
        </w:tc>
      </w:tr>
      <w:tr>
        <w:tc>
          <w:tcPr>
            <w:tcW w:type="dxa" w:w="900"/>
            <w:tcW w:w="900" w:type="dxa"/>
          </w:tcPr>
          <w:p>
            <w:pPr>
              <w:spacing w:after="20" w:before="20"/>
            </w:pPr>
            <w:r/>
            <w:r>
              <w:rPr>
                <w:rFonts w:ascii="Calibri" w:hAnsi="Calibri"/>
                <w:b/>
                <w:i w:val="0"/>
                <w:sz w:val="16"/>
              </w:rPr>
              <w:t>—</w:t>
            </w:r>
          </w:p>
        </w:tc>
        <w:tc>
          <w:tcPr>
            <w:tcW w:type="dxa" w:w="5200"/>
            <w:tcW w:w="5200" w:type="dxa"/>
          </w:tcPr>
          <w:p>
            <w:pPr>
              <w:spacing w:after="20" w:before="20"/>
            </w:pPr>
            <w:r/>
            <w:r>
              <w:rPr>
                <w:rFonts w:ascii="Calibri" w:hAnsi="Calibri"/>
                <w:b w:val="0"/>
                <w:i w:val="0"/>
                <w:sz w:val="16"/>
              </w:rPr>
              <w:t>RSA policy issue report (policy number against VIN)</w:t>
            </w:r>
          </w:p>
        </w:tc>
        <w:tc>
          <w:tcPr>
            <w:tcW w:type="dxa" w:w="1600"/>
            <w:tcW w:w="1600" w:type="dxa"/>
          </w:tcPr>
          <w:p>
            <w:pPr>
              <w:spacing w:after="20" w:before="20"/>
            </w:pPr>
            <w:r/>
            <w:r>
              <w:rPr>
                <w:rFonts w:ascii="Calibri" w:hAnsi="Calibri"/>
                <w:b w:val="0"/>
                <w:i w:val="0"/>
                <w:sz w:val="16"/>
              </w:rPr>
              <w:t>Not supplied</w:t>
            </w:r>
          </w:p>
        </w:tc>
        <w:tc>
          <w:tcPr>
            <w:tcW w:type="dxa" w:w="1600"/>
            <w:tcW w:w="1600" w:type="dxa"/>
          </w:tcPr>
          <w:p>
            <w:pPr>
              <w:spacing w:after="20" w:before="20"/>
            </w:pPr>
            <w:r/>
            <w:r>
              <w:rPr>
                <w:rFonts w:ascii="Calibri" w:hAnsi="Calibri"/>
                <w:b w:val="0"/>
                <w:i w:val="0"/>
                <w:sz w:val="16"/>
              </w:rPr>
              <w:t>—</w:t>
            </w:r>
          </w:p>
        </w:tc>
        <w:tc>
          <w:tcPr>
            <w:tcW w:type="dxa" w:w="3000"/>
            <w:tcW w:w="3000" w:type="dxa"/>
          </w:tcPr>
          <w:p>
            <w:pPr>
              <w:spacing w:after="20" w:before="20"/>
            </w:pPr>
            <w:r/>
            <w:r>
              <w:rPr>
                <w:rFonts w:ascii="Calibri" w:hAnsi="Calibri"/>
                <w:b w:val="0"/>
                <w:i w:val="0"/>
                <w:sz w:val="16"/>
              </w:rPr>
              <w:t>Reference data</w:t>
            </w:r>
          </w:p>
        </w:tc>
        <w:tc>
          <w:tcPr>
            <w:tcW w:type="dxa" w:w="3338"/>
            <w:tcW w:w="3338" w:type="dxa"/>
          </w:tcPr>
          <w:p>
            <w:pPr>
              <w:spacing w:after="20" w:before="20"/>
            </w:pPr>
            <w:r/>
            <w:r>
              <w:rPr>
                <w:rFonts w:ascii="Calibri" w:hAnsi="Calibri"/>
                <w:b w:val="0"/>
                <w:i w:val="0"/>
                <w:sz w:val="16"/>
              </w:rPr>
              <w:t>Lines left unscored without it</w:t>
            </w:r>
          </w:p>
        </w:tc>
      </w:tr>
      <w:tr>
        <w:tc>
          <w:tcPr>
            <w:tcW w:type="dxa" w:w="900"/>
            <w:tcW w:w="900" w:type="dxa"/>
            <w:shd w:val="clear" w:color="auto" w:fill="F2F5FA"/>
          </w:tcPr>
          <w:p>
            <w:pPr>
              <w:spacing w:after="20" w:before="20"/>
            </w:pPr>
            <w:r/>
            <w:r>
              <w:rPr>
                <w:rFonts w:ascii="Calibri" w:hAnsi="Calibri"/>
                <w:b/>
                <w:i w:val="0"/>
                <w:sz w:val="16"/>
              </w:rPr>
              <w:t>—</w:t>
            </w:r>
          </w:p>
        </w:tc>
        <w:tc>
          <w:tcPr>
            <w:tcW w:type="dxa" w:w="5200"/>
            <w:tcW w:w="5200" w:type="dxa"/>
            <w:shd w:val="clear" w:color="auto" w:fill="F2F5FA"/>
          </w:tcPr>
          <w:p>
            <w:pPr>
              <w:spacing w:after="20" w:before="20"/>
            </w:pPr>
            <w:r/>
            <w:r>
              <w:rPr>
                <w:rFonts w:ascii="Calibri" w:hAnsi="Calibri"/>
                <w:b w:val="0"/>
                <w:i w:val="0"/>
                <w:sz w:val="16"/>
              </w:rPr>
              <w:t>Extended warranty policy issue report with plan mix</w:t>
            </w:r>
          </w:p>
        </w:tc>
        <w:tc>
          <w:tcPr>
            <w:tcW w:type="dxa" w:w="1600"/>
            <w:tcW w:w="1600" w:type="dxa"/>
            <w:shd w:val="clear" w:color="auto" w:fill="F2F5FA"/>
          </w:tcPr>
          <w:p>
            <w:pPr>
              <w:spacing w:after="20" w:before="20"/>
            </w:pPr>
            <w:r/>
            <w:r>
              <w:rPr>
                <w:rFonts w:ascii="Calibri" w:hAnsi="Calibri"/>
                <w:b w:val="0"/>
                <w:i w:val="0"/>
                <w:sz w:val="16"/>
              </w:rPr>
              <w:t>Not supplied</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Reference data</w:t>
            </w:r>
          </w:p>
        </w:tc>
        <w:tc>
          <w:tcPr>
            <w:tcW w:type="dxa" w:w="3338"/>
            <w:tcW w:w="3338" w:type="dxa"/>
            <w:shd w:val="clear" w:color="auto" w:fill="F2F5FA"/>
          </w:tcPr>
          <w:p>
            <w:pPr>
              <w:spacing w:after="20" w:before="20"/>
            </w:pPr>
            <w:r/>
            <w:r>
              <w:rPr>
                <w:rFonts w:ascii="Calibri" w:hAnsi="Calibri"/>
                <w:b w:val="0"/>
                <w:i w:val="0"/>
                <w:sz w:val="16"/>
              </w:rPr>
              <w:t>Lines left unscored without it</w:t>
            </w:r>
          </w:p>
        </w:tc>
      </w:tr>
    </w:tbl>
    <w:p>
      <w:r>
        <w:br w:type="page"/>
      </w:r>
    </w:p>
    <w:p>
      <w:pPr>
        <w:spacing w:before="240" w:after="100"/>
        <w:pBdr>
          <w:bottom w:val="single" w:sz="8" w:color="1F3864" w:space="2"/>
        </w:pBdr>
      </w:pPr>
      <w:r>
        <w:rPr>
          <w:rFonts w:ascii="Calibri" w:hAnsi="Calibri"/>
          <w:b/>
          <w:color w:val="1F3864"/>
          <w:sz w:val="26"/>
        </w:rPr>
        <w:t>Section A — Process parameter scorecard</w:t>
      </w:r>
    </w:p>
    <w:p>
      <w:pPr>
        <w:spacing w:after="80"/>
      </w:pPr>
      <w:r>
        <w:rPr>
          <w:rFonts w:ascii="Calibri" w:hAnsi="Calibri"/>
          <w:b w:val="0"/>
          <w:sz w:val="16"/>
        </w:rPr>
        <w:t>RAG: Green ≥90% achievement, Amber 75–89%, Red below 75%.</w:t>
      </w:r>
    </w:p>
    <w:tbl>
      <w:tblPr>
        <w:tblStyle w:val="TableGrid"/>
        <w:tblW w:type="auto" w:w="0"/>
        <w:tblLayout w:type="fixed"/>
        <w:tblLook w:firstColumn="1" w:firstRow="1" w:lastColumn="0" w:lastRow="0" w:noHBand="0" w:noVBand="1" w:val="04A0"/>
        <w:tblLayout w:type="fixed"/>
      </w:tblPr>
      <w:tblGrid>
        <w:gridCol w:w="520"/>
        <w:gridCol w:w="1950"/>
        <w:gridCol w:w="2850"/>
        <w:gridCol w:w="2250"/>
        <w:gridCol w:w="3150"/>
        <w:gridCol w:w="480"/>
        <w:gridCol w:w="560"/>
        <w:gridCol w:w="560"/>
        <w:gridCol w:w="3318"/>
      </w:tblGrid>
      <w:tr>
        <w:tc>
          <w:tcPr>
            <w:tcW w:type="dxa" w:w="1738"/>
            <w:tcW w:w="520" w:type="dxa"/>
            <w:shd w:val="clear" w:color="auto" w:fill="1F3864"/>
            <w:vAlign w:val="center"/>
          </w:tcPr>
          <w:p>
            <w:pPr>
              <w:spacing w:after="20" w:before="20"/>
              <w:jc w:val="center"/>
            </w:pPr>
            <w:r/>
            <w:r>
              <w:rPr>
                <w:rFonts w:ascii="Calibri" w:hAnsi="Calibri"/>
                <w:b/>
                <w:i w:val="0"/>
                <w:color w:val="FFFFFF"/>
                <w:sz w:val="18"/>
              </w:rPr>
              <w:t>S.No</w:t>
            </w:r>
          </w:p>
        </w:tc>
        <w:tc>
          <w:tcPr>
            <w:tcW w:type="dxa" w:w="1738"/>
            <w:tcW w:w="1950" w:type="dxa"/>
            <w:shd w:val="clear" w:color="auto" w:fill="1F3864"/>
            <w:vAlign w:val="center"/>
          </w:tcPr>
          <w:p>
            <w:pPr>
              <w:spacing w:after="20" w:before="20"/>
              <w:jc w:val="center"/>
            </w:pPr>
            <w:r/>
            <w:r>
              <w:rPr>
                <w:rFonts w:ascii="Calibri" w:hAnsi="Calibri"/>
                <w:b/>
                <w:i w:val="0"/>
                <w:color w:val="FFFFFF"/>
                <w:sz w:val="18"/>
              </w:rPr>
              <w:t>Process parameter</w:t>
            </w:r>
          </w:p>
        </w:tc>
        <w:tc>
          <w:tcPr>
            <w:tcW w:type="dxa" w:w="1738"/>
            <w:tcW w:w="2850" w:type="dxa"/>
            <w:shd w:val="clear" w:color="auto" w:fill="1F3864"/>
            <w:vAlign w:val="center"/>
          </w:tcPr>
          <w:p>
            <w:pPr>
              <w:spacing w:after="20" w:before="20"/>
              <w:jc w:val="center"/>
            </w:pPr>
            <w:r/>
            <w:r>
              <w:rPr>
                <w:rFonts w:ascii="Calibri" w:hAnsi="Calibri"/>
                <w:b/>
                <w:i w:val="0"/>
                <w:color w:val="FFFFFF"/>
                <w:sz w:val="18"/>
              </w:rPr>
              <w:t>What to verify / data source</w:t>
            </w:r>
          </w:p>
        </w:tc>
        <w:tc>
          <w:tcPr>
            <w:tcW w:type="dxa" w:w="1738"/>
            <w:tcW w:w="2250" w:type="dxa"/>
            <w:shd w:val="clear" w:color="auto" w:fill="1F3864"/>
            <w:vAlign w:val="center"/>
          </w:tcPr>
          <w:p>
            <w:pPr>
              <w:spacing w:after="20" w:before="20"/>
              <w:jc w:val="center"/>
            </w:pPr>
            <w:r/>
            <w:r>
              <w:rPr>
                <w:rFonts w:ascii="Calibri" w:hAnsi="Calibri"/>
                <w:b/>
                <w:i w:val="0"/>
                <w:color w:val="FFFFFF"/>
                <w:sz w:val="18"/>
              </w:rPr>
              <w:t>Benchmark / norm</w:t>
            </w:r>
          </w:p>
        </w:tc>
        <w:tc>
          <w:tcPr>
            <w:tcW w:type="dxa" w:w="1738"/>
            <w:tcW w:w="3150" w:type="dxa"/>
            <w:shd w:val="clear" w:color="auto" w:fill="1F3864"/>
            <w:vAlign w:val="center"/>
          </w:tcPr>
          <w:p>
            <w:pPr>
              <w:spacing w:after="20" w:before="20"/>
              <w:jc w:val="center"/>
            </w:pPr>
            <w:r/>
            <w:r>
              <w:rPr>
                <w:rFonts w:ascii="Calibri" w:hAnsi="Calibri"/>
                <w:b/>
                <w:i w:val="0"/>
                <w:color w:val="FFFFFF"/>
                <w:sz w:val="18"/>
              </w:rPr>
              <w:t>Actual observed</w:t>
            </w:r>
          </w:p>
        </w:tc>
        <w:tc>
          <w:tcPr>
            <w:tcW w:type="dxa" w:w="1738"/>
            <w:tcW w:w="480" w:type="dxa"/>
            <w:shd w:val="clear" w:color="auto" w:fill="1F3864"/>
            <w:vAlign w:val="center"/>
          </w:tcPr>
          <w:p>
            <w:pPr>
              <w:spacing w:after="20" w:before="20"/>
              <w:jc w:val="center"/>
            </w:pPr>
            <w:r/>
            <w:r>
              <w:rPr>
                <w:rFonts w:ascii="Calibri" w:hAnsi="Calibri"/>
                <w:b/>
                <w:i w:val="0"/>
                <w:color w:val="FFFFFF"/>
                <w:sz w:val="18"/>
              </w:rPr>
              <w:t>Wt</w:t>
            </w:r>
          </w:p>
        </w:tc>
        <w:tc>
          <w:tcPr>
            <w:tcW w:type="dxa" w:w="1738"/>
            <w:tcW w:w="560" w:type="dxa"/>
            <w:shd w:val="clear" w:color="auto" w:fill="1F3864"/>
            <w:vAlign w:val="center"/>
          </w:tcPr>
          <w:p>
            <w:pPr>
              <w:spacing w:after="20" w:before="20"/>
              <w:jc w:val="center"/>
            </w:pPr>
            <w:r/>
            <w:r>
              <w:rPr>
                <w:rFonts w:ascii="Calibri" w:hAnsi="Calibri"/>
                <w:b/>
                <w:i w:val="0"/>
                <w:color w:val="FFFFFF"/>
                <w:sz w:val="18"/>
              </w:rPr>
              <w:t>Ach</w:t>
            </w:r>
          </w:p>
        </w:tc>
        <w:tc>
          <w:tcPr>
            <w:tcW w:type="dxa" w:w="1738"/>
            <w:tcW w:w="560" w:type="dxa"/>
            <w:shd w:val="clear" w:color="auto" w:fill="1F3864"/>
            <w:vAlign w:val="center"/>
          </w:tcPr>
          <w:p>
            <w:pPr>
              <w:spacing w:after="20" w:before="20"/>
              <w:jc w:val="center"/>
            </w:pPr>
            <w:r/>
            <w:r>
              <w:rPr>
                <w:rFonts w:ascii="Calibri" w:hAnsi="Calibri"/>
                <w:b/>
                <w:i w:val="0"/>
                <w:color w:val="FFFFFF"/>
                <w:sz w:val="18"/>
              </w:rPr>
              <w:t>Score</w:t>
            </w:r>
          </w:p>
        </w:tc>
        <w:tc>
          <w:tcPr>
            <w:tcW w:type="dxa" w:w="1738"/>
            <w:tcW w:w="3318" w:type="dxa"/>
            <w:shd w:val="clear" w:color="auto" w:fill="1F3864"/>
            <w:vAlign w:val="center"/>
          </w:tcPr>
          <w:p>
            <w:pPr>
              <w:spacing w:after="20" w:before="20"/>
              <w:jc w:val="center"/>
            </w:pPr>
            <w:r/>
            <w:r>
              <w:rPr>
                <w:rFonts w:ascii="Calibri" w:hAnsi="Calibri"/>
                <w:b/>
                <w:i w:val="0"/>
                <w:color w:val="FFFFFF"/>
                <w:sz w:val="18"/>
              </w:rPr>
              <w:t>RAG / observation</w:t>
            </w:r>
          </w:p>
        </w:tc>
      </w:tr>
      <w:tr>
        <w:tc>
          <w:tcPr>
            <w:tcW w:type="dxa" w:w="15638"/>
            <w:gridSpan w:val="9"/>
            <w:shd w:val="clear" w:color="auto" w:fill="DCE6F1"/>
          </w:tcPr>
          <w:p>
            <w:pPr>
              <w:spacing w:after="20" w:before="20"/>
            </w:pPr>
            <w:r/>
            <w:r>
              <w:rPr>
                <w:rFonts w:ascii="Calibri" w:hAnsi="Calibri"/>
                <w:b/>
                <w:i w:val="0"/>
                <w:color w:val="1F3864"/>
                <w:sz w:val="18"/>
              </w:rPr>
              <w:t>A. Demand generation and enquiry health  —  weightage 11  (scored 11.0, achievement 56.2%)</w:t>
            </w:r>
          </w:p>
        </w:tc>
      </w:tr>
      <w:tr>
        <w:tc>
          <w:tcPr>
            <w:tcW w:type="dxa" w:w="520"/>
            <w:tcW w:w="520" w:type="dxa"/>
          </w:tcPr>
          <w:p>
            <w:pPr>
              <w:spacing w:after="20" w:before="20"/>
              <w:jc w:val="center"/>
            </w:pPr>
            <w:r/>
            <w:r>
              <w:rPr>
                <w:rFonts w:ascii="Calibri" w:hAnsi="Calibri"/>
                <w:b/>
                <w:i w:val="0"/>
                <w:sz w:val="16"/>
              </w:rPr>
              <w:t>1.1</w:t>
            </w:r>
          </w:p>
        </w:tc>
        <w:tc>
          <w:tcPr>
            <w:tcW w:type="dxa" w:w="1950"/>
            <w:tcW w:w="1950" w:type="dxa"/>
          </w:tcPr>
          <w:p>
            <w:pPr>
              <w:spacing w:after="20" w:before="20"/>
            </w:pPr>
            <w:r/>
            <w:r>
              <w:rPr>
                <w:rFonts w:ascii="Calibri" w:hAnsi="Calibri"/>
                <w:b w:val="0"/>
                <w:i w:val="0"/>
                <w:sz w:val="16"/>
              </w:rPr>
              <w:t>Enquiry volume against target</w:t>
            </w:r>
          </w:p>
        </w:tc>
        <w:tc>
          <w:tcPr>
            <w:tcW w:type="dxa" w:w="2850"/>
            <w:tcW w:w="2850" w:type="dxa"/>
          </w:tcPr>
          <w:p>
            <w:pPr>
              <w:spacing w:after="20" w:before="20"/>
            </w:pPr>
            <w:r/>
            <w:r>
              <w:rPr>
                <w:rFonts w:ascii="Calibri" w:hAnsi="Calibri"/>
                <w:b w:val="0"/>
                <w:i w:val="0"/>
                <w:sz w:val="16"/>
              </w:rPr>
              <w:t>Enquiries punched in DMS against the month's target</w:t>
            </w:r>
          </w:p>
        </w:tc>
        <w:tc>
          <w:tcPr>
            <w:tcW w:type="dxa" w:w="2250"/>
            <w:tcW w:w="2250" w:type="dxa"/>
          </w:tcPr>
          <w:p>
            <w:pPr>
              <w:spacing w:after="20" w:before="20"/>
            </w:pPr>
            <w:r/>
            <w:r>
              <w:rPr>
                <w:rFonts w:ascii="Calibri" w:hAnsi="Calibri"/>
                <w:b w:val="0"/>
                <w:i w:val="0"/>
                <w:sz w:val="16"/>
              </w:rPr>
              <w:t>100% of target</w:t>
            </w:r>
          </w:p>
        </w:tc>
        <w:tc>
          <w:tcPr>
            <w:tcW w:type="dxa" w:w="3150"/>
            <w:tcW w:w="3150" w:type="dxa"/>
          </w:tcPr>
          <w:p>
            <w:pPr>
              <w:spacing w:after="20" w:before="20"/>
            </w:pPr>
            <w:r/>
            <w:r>
              <w:rPr>
                <w:rFonts w:ascii="Calibri" w:hAnsi="Calibri"/>
                <w:b w:val="0"/>
                <w:i w:val="0"/>
                <w:sz w:val="16"/>
              </w:rPr>
              <w:t>441 enquiries in the audit period (0.94 months)</w:t>
            </w:r>
          </w:p>
          <w:p>
            <w:pPr>
              <w:spacing w:after="20"/>
            </w:pPr>
            <w:r>
              <w:rPr>
                <w:rFonts w:ascii="Calibri" w:hAnsi="Calibri"/>
                <w:i/>
                <w:color w:val="2E5C8A"/>
                <w:sz w:val="14"/>
              </w:rPr>
              <w:t>Source: Enquiry.xlsx › FETB_EDP_v1_1 › Enquiry Number, Enquiry Date  |  Sales_Target_-_Clean.xlsx</w:t>
            </w:r>
          </w:p>
        </w:tc>
        <w:tc>
          <w:tcPr>
            <w:tcW w:type="dxa" w:w="480"/>
            <w:tcW w:w="480" w:type="dxa"/>
          </w:tcPr>
          <w:p>
            <w:pPr>
              <w:spacing w:after="20" w:before="20"/>
              <w:jc w:val="center"/>
            </w:pPr>
            <w:r/>
            <w:r>
              <w:rPr>
                <w:rFonts w:ascii="Calibri" w:hAnsi="Calibri"/>
                <w:b w:val="0"/>
                <w:i w:val="0"/>
                <w:sz w:val="16"/>
              </w:rPr>
              <w:t>3.0</w:t>
            </w:r>
          </w:p>
        </w:tc>
        <w:tc>
          <w:tcPr>
            <w:tcW w:type="dxa" w:w="560"/>
            <w:tcW w:w="560" w:type="dxa"/>
          </w:tcPr>
          <w:p>
            <w:pPr>
              <w:spacing w:after="20" w:before="20"/>
              <w:jc w:val="center"/>
            </w:pPr>
            <w:r/>
            <w:r>
              <w:rPr>
                <w:rFonts w:ascii="Calibri" w:hAnsi="Calibri"/>
                <w:b w:val="0"/>
                <w:i w:val="0"/>
                <w:sz w:val="16"/>
              </w:rPr>
              <w:t>100%</w:t>
            </w:r>
          </w:p>
        </w:tc>
        <w:tc>
          <w:tcPr>
            <w:tcW w:type="dxa" w:w="560"/>
            <w:tcW w:w="560" w:type="dxa"/>
          </w:tcPr>
          <w:p>
            <w:pPr>
              <w:spacing w:after="20" w:before="20"/>
              <w:jc w:val="center"/>
            </w:pPr>
            <w:r/>
            <w:r>
              <w:rPr>
                <w:rFonts w:ascii="Calibri" w:hAnsi="Calibri"/>
                <w:b/>
                <w:i w:val="0"/>
                <w:sz w:val="16"/>
              </w:rPr>
              <w:t>3.0</w:t>
            </w:r>
          </w:p>
        </w:tc>
        <w:tc>
          <w:tcPr>
            <w:tcW w:type="dxa" w:w="3318"/>
            <w:tcW w:w="3318" w:type="dxa"/>
            <w:shd w:val="clear" w:color="auto" w:fill="C6EFCE"/>
          </w:tcPr>
          <w:p>
            <w:pPr>
              <w:spacing w:after="20" w:before="20"/>
            </w:pPr>
            <w:r/>
            <w:r>
              <w:rPr>
                <w:rFonts w:ascii="Calibri" w:hAnsi="Calibri"/>
                <w:b w:val="0"/>
                <w:i w:val="0"/>
                <w:sz w:val="16"/>
              </w:rPr>
              <w:t>Green — monthly target 280 × 0.94 months covered = 262</w:t>
            </w:r>
          </w:p>
        </w:tc>
      </w:tr>
      <w:tr>
        <w:tc>
          <w:tcPr>
            <w:tcW w:type="dxa" w:w="520"/>
            <w:tcW w:w="520" w:type="dxa"/>
            <w:shd w:val="clear" w:color="auto" w:fill="F2F5FA"/>
          </w:tcPr>
          <w:p>
            <w:pPr>
              <w:spacing w:after="20" w:before="20"/>
              <w:jc w:val="center"/>
            </w:pPr>
            <w:r/>
            <w:r>
              <w:rPr>
                <w:rFonts w:ascii="Calibri" w:hAnsi="Calibri"/>
                <w:b/>
                <w:i w:val="0"/>
                <w:sz w:val="16"/>
              </w:rPr>
              <w:t>1.2</w:t>
            </w:r>
          </w:p>
        </w:tc>
        <w:tc>
          <w:tcPr>
            <w:tcW w:type="dxa" w:w="1950"/>
            <w:tcW w:w="1950" w:type="dxa"/>
            <w:shd w:val="clear" w:color="auto" w:fill="F2F5FA"/>
          </w:tcPr>
          <w:p>
            <w:pPr>
              <w:spacing w:after="20" w:before="20"/>
            </w:pPr>
            <w:r/>
            <w:r>
              <w:rPr>
                <w:rFonts w:ascii="Calibri" w:hAnsi="Calibri"/>
                <w:b w:val="0"/>
                <w:i w:val="0"/>
                <w:sz w:val="16"/>
              </w:rPr>
              <w:t>Enquiry source mix</w:t>
            </w:r>
          </w:p>
        </w:tc>
        <w:tc>
          <w:tcPr>
            <w:tcW w:type="dxa" w:w="2850"/>
            <w:tcW w:w="2850" w:type="dxa"/>
            <w:shd w:val="clear" w:color="auto" w:fill="F2F5FA"/>
          </w:tcPr>
          <w:p>
            <w:pPr>
              <w:spacing w:after="20" w:before="20"/>
            </w:pPr>
            <w:r/>
            <w:r>
              <w:rPr>
                <w:rFonts w:ascii="Calibri" w:hAnsi="Calibri"/>
                <w:b w:val="0"/>
                <w:i w:val="0"/>
                <w:sz w:val="16"/>
              </w:rPr>
              <w:t>Split of walk-in, digital, field, telephone and referral</w:t>
            </w:r>
          </w:p>
        </w:tc>
        <w:tc>
          <w:tcPr>
            <w:tcW w:type="dxa" w:w="2250"/>
            <w:tcW w:w="2250" w:type="dxa"/>
            <w:shd w:val="clear" w:color="auto" w:fill="F2F5FA"/>
          </w:tcPr>
          <w:p>
            <w:pPr>
              <w:spacing w:after="20" w:before="20"/>
            </w:pPr>
            <w:r/>
            <w:r>
              <w:rPr>
                <w:rFonts w:ascii="Calibri" w:hAnsi="Calibri"/>
                <w:b w:val="0"/>
                <w:i w:val="0"/>
                <w:sz w:val="16"/>
              </w:rPr>
              <w:t>Digital ≥40%, referral ≥15%, no source &gt;60%</w:t>
            </w:r>
          </w:p>
        </w:tc>
        <w:tc>
          <w:tcPr>
            <w:tcW w:type="dxa" w:w="3150"/>
            <w:tcW w:w="3150" w:type="dxa"/>
            <w:shd w:val="clear" w:color="auto" w:fill="F2F5FA"/>
          </w:tcPr>
          <w:p>
            <w:pPr>
              <w:spacing w:after="20" w:before="20"/>
            </w:pPr>
            <w:r/>
            <w:r>
              <w:rPr>
                <w:rFonts w:ascii="Calibri" w:hAnsi="Calibri"/>
                <w:b w:val="0"/>
                <w:i w:val="0"/>
                <w:sz w:val="16"/>
              </w:rPr>
              <w:t>Field 82.5%; Walk-in 9.1%; Digital 7.0%; Telephone 1.4%</w:t>
            </w:r>
          </w:p>
          <w:p>
            <w:pPr>
              <w:spacing w:after="20"/>
            </w:pPr>
            <w:r>
              <w:rPr>
                <w:rFonts w:ascii="Calibri" w:hAnsi="Calibri"/>
                <w:i/>
                <w:color w:val="2E5C8A"/>
                <w:sz w:val="14"/>
              </w:rPr>
              <w:t>Source: Enquiry.xlsx › FETB_EDP_v1_1 › Enquiry Type, Enquiry Source</w:t>
            </w:r>
          </w:p>
        </w:tc>
        <w:tc>
          <w:tcPr>
            <w:tcW w:type="dxa" w:w="480"/>
            <w:tcW w:w="480" w:type="dxa"/>
            <w:shd w:val="clear" w:color="auto" w:fill="F2F5FA"/>
          </w:tcPr>
          <w:p>
            <w:pPr>
              <w:spacing w:after="20" w:before="20"/>
              <w:jc w:val="center"/>
            </w:pPr>
            <w:r/>
            <w:r>
              <w:rPr>
                <w:rFonts w:ascii="Calibri" w:hAnsi="Calibri"/>
                <w:b w:val="0"/>
                <w:i w:val="0"/>
                <w:sz w:val="16"/>
              </w:rPr>
              <w:t>2.0</w:t>
            </w:r>
          </w:p>
        </w:tc>
        <w:tc>
          <w:tcPr>
            <w:tcW w:type="dxa" w:w="560"/>
            <w:tcW w:w="560" w:type="dxa"/>
            <w:shd w:val="clear" w:color="auto" w:fill="F2F5FA"/>
          </w:tcPr>
          <w:p>
            <w:pPr>
              <w:spacing w:after="20" w:before="20"/>
              <w:jc w:val="center"/>
            </w:pPr>
            <w:r/>
            <w:r>
              <w:rPr>
                <w:rFonts w:ascii="Calibri" w:hAnsi="Calibri"/>
                <w:b w:val="0"/>
                <w:i w:val="0"/>
                <w:sz w:val="16"/>
              </w:rPr>
              <w:t>45%</w:t>
            </w:r>
          </w:p>
        </w:tc>
        <w:tc>
          <w:tcPr>
            <w:tcW w:type="dxa" w:w="560"/>
            <w:tcW w:w="560" w:type="dxa"/>
            <w:shd w:val="clear" w:color="auto" w:fill="F2F5FA"/>
          </w:tcPr>
          <w:p>
            <w:pPr>
              <w:spacing w:after="20" w:before="20"/>
              <w:jc w:val="center"/>
            </w:pPr>
            <w:r/>
            <w:r>
              <w:rPr>
                <w:rFonts w:ascii="Calibri" w:hAnsi="Calibri"/>
                <w:b/>
                <w:i w:val="0"/>
                <w:sz w:val="16"/>
              </w:rPr>
              <w:t>0.9</w:t>
            </w:r>
          </w:p>
        </w:tc>
        <w:tc>
          <w:tcPr>
            <w:tcW w:type="dxa" w:w="3318"/>
            <w:tcW w:w="3318" w:type="dxa"/>
            <w:shd w:val="clear" w:color="auto" w:fill="F2F5FA"/>
            <w:shd w:val="clear" w:color="auto" w:fill="FFC7CE"/>
          </w:tcPr>
          <w:p>
            <w:pPr>
              <w:spacing w:after="20" w:before="20"/>
            </w:pPr>
            <w:r/>
            <w:r>
              <w:rPr>
                <w:rFonts w:ascii="Calibri" w:hAnsi="Calibri"/>
                <w:b w:val="0"/>
                <w:i w:val="0"/>
                <w:sz w:val="16"/>
              </w:rPr>
              <w:t>Red — digital 7.0% below 40%; Field 82.5% exceeds concentration cap</w:t>
            </w:r>
          </w:p>
        </w:tc>
      </w:tr>
      <w:tr>
        <w:tc>
          <w:tcPr>
            <w:tcW w:type="dxa" w:w="520"/>
            <w:tcW w:w="520" w:type="dxa"/>
          </w:tcPr>
          <w:p>
            <w:pPr>
              <w:spacing w:after="20" w:before="20"/>
              <w:jc w:val="center"/>
            </w:pPr>
            <w:r/>
            <w:r>
              <w:rPr>
                <w:rFonts w:ascii="Calibri" w:hAnsi="Calibri"/>
                <w:b/>
                <w:i w:val="0"/>
                <w:sz w:val="16"/>
              </w:rPr>
              <w:t>1.3</w:t>
            </w:r>
          </w:p>
        </w:tc>
        <w:tc>
          <w:tcPr>
            <w:tcW w:type="dxa" w:w="1950"/>
            <w:tcW w:w="1950" w:type="dxa"/>
          </w:tcPr>
          <w:p>
            <w:pPr>
              <w:spacing w:after="20" w:before="20"/>
            </w:pPr>
            <w:r/>
            <w:r>
              <w:rPr>
                <w:rFonts w:ascii="Calibri" w:hAnsi="Calibri"/>
                <w:b w:val="0"/>
                <w:i w:val="0"/>
                <w:sz w:val="16"/>
              </w:rPr>
              <w:t>Lead response TAT</w:t>
            </w:r>
          </w:p>
        </w:tc>
        <w:tc>
          <w:tcPr>
            <w:tcW w:type="dxa" w:w="2850"/>
            <w:tcW w:w="2850" w:type="dxa"/>
          </w:tcPr>
          <w:p>
            <w:pPr>
              <w:spacing w:after="20" w:before="20"/>
            </w:pPr>
            <w:r/>
            <w:r>
              <w:rPr>
                <w:rFonts w:ascii="Calibri" w:hAnsi="Calibri"/>
                <w:b w:val="0"/>
                <w:i w:val="0"/>
                <w:sz w:val="16"/>
              </w:rPr>
              <w:t>Enquiry creation to consultant assignment</w:t>
            </w:r>
          </w:p>
        </w:tc>
        <w:tc>
          <w:tcPr>
            <w:tcW w:type="dxa" w:w="2250"/>
            <w:tcW w:w="2250" w:type="dxa"/>
          </w:tcPr>
          <w:p>
            <w:pPr>
              <w:spacing w:after="20" w:before="20"/>
            </w:pPr>
            <w:r/>
            <w:r>
              <w:rPr>
                <w:rFonts w:ascii="Calibri" w:hAnsi="Calibri"/>
                <w:b w:val="0"/>
                <w:i w:val="0"/>
                <w:sz w:val="16"/>
              </w:rPr>
              <w:t>First contact within 30 minutes</w:t>
            </w:r>
          </w:p>
        </w:tc>
        <w:tc>
          <w:tcPr>
            <w:tcW w:type="dxa" w:w="3150"/>
            <w:tcW w:w="3150" w:type="dxa"/>
          </w:tcPr>
          <w:p>
            <w:pPr>
              <w:spacing w:after="20" w:before="20"/>
            </w:pPr>
            <w:r/>
            <w:r>
              <w:rPr>
                <w:rFonts w:ascii="Calibri" w:hAnsi="Calibri"/>
                <w:b w:val="0"/>
                <w:i w:val="0"/>
                <w:sz w:val="16"/>
              </w:rPr>
              <w:t>Assign date blank on 437 of 441 (99.1%). Of 4 dated records, 0 (0.0%) show assignment before enquiry creation</w:t>
            </w:r>
          </w:p>
          <w:p>
            <w:pPr>
              <w:spacing w:after="20"/>
            </w:pPr>
            <w:r>
              <w:rPr>
                <w:rFonts w:ascii="Calibri" w:hAnsi="Calibri"/>
                <w:i/>
                <w:color w:val="2E5C8A"/>
                <w:sz w:val="14"/>
              </w:rPr>
              <w:t>Source: Enquiry.xlsx › FETB_EDP_v1_1 › Enq Assign Date, Enquiry Date</w:t>
            </w:r>
          </w:p>
        </w:tc>
        <w:tc>
          <w:tcPr>
            <w:tcW w:type="dxa" w:w="480"/>
            <w:tcW w:w="480" w:type="dxa"/>
          </w:tcPr>
          <w:p>
            <w:pPr>
              <w:spacing w:after="20" w:before="20"/>
              <w:jc w:val="center"/>
            </w:pPr>
            <w:r/>
            <w:r>
              <w:rPr>
                <w:rFonts w:ascii="Calibri" w:hAnsi="Calibri"/>
                <w:b w:val="0"/>
                <w:i w:val="0"/>
                <w:sz w:val="16"/>
              </w:rPr>
              <w:t>3.0</w:t>
            </w:r>
          </w:p>
        </w:tc>
        <w:tc>
          <w:tcPr>
            <w:tcW w:type="dxa" w:w="560"/>
            <w:tcW w:w="560" w:type="dxa"/>
          </w:tcPr>
          <w:p>
            <w:pPr>
              <w:spacing w:after="20" w:before="20"/>
              <w:jc w:val="center"/>
            </w:pPr>
            <w:r/>
            <w:r>
              <w:rPr>
                <w:rFonts w:ascii="Calibri" w:hAnsi="Calibri"/>
                <w:b w:val="0"/>
                <w:i w:val="0"/>
                <w:sz w:val="16"/>
              </w:rPr>
              <w:t>1%</w:t>
            </w:r>
          </w:p>
        </w:tc>
        <w:tc>
          <w:tcPr>
            <w:tcW w:type="dxa" w:w="560"/>
            <w:tcW w:w="560" w:type="dxa"/>
          </w:tcPr>
          <w:p>
            <w:pPr>
              <w:spacing w:after="20" w:before="20"/>
              <w:jc w:val="center"/>
            </w:pPr>
            <w:r/>
            <w:r>
              <w:rPr>
                <w:rFonts w:ascii="Calibri" w:hAnsi="Calibri"/>
                <w:b/>
                <w:i w:val="0"/>
                <w:sz w:val="16"/>
              </w:rPr>
              <w:t>0.0</w:t>
            </w:r>
          </w:p>
        </w:tc>
        <w:tc>
          <w:tcPr>
            <w:tcW w:type="dxa" w:w="3318"/>
            <w:tcW w:w="3318" w:type="dxa"/>
            <w:shd w:val="clear" w:color="auto" w:fill="FFC7CE"/>
          </w:tcPr>
          <w:p>
            <w:pPr>
              <w:spacing w:after="20" w:before="20"/>
            </w:pPr>
            <w:r/>
            <w:r>
              <w:rPr>
                <w:rFonts w:ascii="Calibri" w:hAnsi="Calibri"/>
                <w:b w:val="0"/>
                <w:i w:val="0"/>
                <w:sz w:val="16"/>
              </w:rPr>
              <w:t>Red — field unusable as evidence</w:t>
            </w:r>
          </w:p>
        </w:tc>
      </w:tr>
      <w:tr>
        <w:tc>
          <w:tcPr>
            <w:tcW w:type="dxa" w:w="520"/>
            <w:tcW w:w="520" w:type="dxa"/>
            <w:shd w:val="clear" w:color="auto" w:fill="F2F5FA"/>
          </w:tcPr>
          <w:p>
            <w:pPr>
              <w:spacing w:after="20" w:before="20"/>
              <w:jc w:val="center"/>
            </w:pPr>
            <w:r/>
            <w:r>
              <w:rPr>
                <w:rFonts w:ascii="Calibri" w:hAnsi="Calibri"/>
                <w:b/>
                <w:i w:val="0"/>
                <w:sz w:val="16"/>
              </w:rPr>
              <w:t>1.4</w:t>
            </w:r>
          </w:p>
        </w:tc>
        <w:tc>
          <w:tcPr>
            <w:tcW w:type="dxa" w:w="1950"/>
            <w:tcW w:w="1950" w:type="dxa"/>
            <w:shd w:val="clear" w:color="auto" w:fill="F2F5FA"/>
          </w:tcPr>
          <w:p>
            <w:pPr>
              <w:spacing w:after="20" w:before="20"/>
            </w:pPr>
            <w:r/>
            <w:r>
              <w:rPr>
                <w:rFonts w:ascii="Calibri" w:hAnsi="Calibri"/>
                <w:b w:val="0"/>
                <w:i w:val="0"/>
                <w:sz w:val="16"/>
              </w:rPr>
              <w:t>Same-day enquiry capture</w:t>
            </w:r>
          </w:p>
        </w:tc>
        <w:tc>
          <w:tcPr>
            <w:tcW w:type="dxa" w:w="2850"/>
            <w:tcW w:w="2850" w:type="dxa"/>
            <w:shd w:val="clear" w:color="auto" w:fill="F2F5FA"/>
          </w:tcPr>
          <w:p>
            <w:pPr>
              <w:spacing w:after="20" w:before="20"/>
            </w:pPr>
            <w:r/>
            <w:r>
              <w:rPr>
                <w:rFonts w:ascii="Calibri" w:hAnsi="Calibri"/>
                <w:b w:val="0"/>
                <w:i w:val="0"/>
                <w:sz w:val="16"/>
              </w:rPr>
              <w:t>Walk-in register reconciled against DMS punching</w:t>
            </w:r>
          </w:p>
        </w:tc>
        <w:tc>
          <w:tcPr>
            <w:tcW w:type="dxa" w:w="2250"/>
            <w:tcW w:w="2250" w:type="dxa"/>
            <w:shd w:val="clear" w:color="auto" w:fill="F2F5FA"/>
          </w:tcPr>
          <w:p>
            <w:pPr>
              <w:spacing w:after="20" w:before="20"/>
            </w:pPr>
            <w:r/>
            <w:r>
              <w:rPr>
                <w:rFonts w:ascii="Calibri" w:hAnsi="Calibri"/>
                <w:b w:val="0"/>
                <w:i w:val="0"/>
                <w:sz w:val="16"/>
              </w:rPr>
              <w:t>100% punched same day, nil back-dating</w:t>
            </w:r>
          </w:p>
        </w:tc>
        <w:tc>
          <w:tcPr>
            <w:tcW w:type="dxa" w:w="3150"/>
            <w:tcW w:w="3150" w:type="dxa"/>
            <w:shd w:val="clear" w:color="auto" w:fill="F2F5FA"/>
          </w:tcPr>
          <w:p>
            <w:pPr>
              <w:spacing w:after="20" w:before="20"/>
            </w:pPr>
            <w:r/>
            <w:r>
              <w:rPr>
                <w:rFonts w:ascii="Calibri" w:hAnsi="Calibri"/>
                <w:b w:val="0"/>
                <w:i w:val="0"/>
                <w:sz w:val="16"/>
              </w:rPr>
              <w:t>0 back-dated assignments; 80 (18.1%) enquiries punched after 20:00. Footfall register not supplied for reconciliation</w:t>
            </w:r>
          </w:p>
          <w:p>
            <w:pPr>
              <w:spacing w:after="20"/>
            </w:pPr>
            <w:r>
              <w:rPr>
                <w:rFonts w:ascii="Calibri" w:hAnsi="Calibri"/>
                <w:i/>
                <w:color w:val="2E5C8A"/>
                <w:sz w:val="14"/>
              </w:rPr>
              <w:t>Source: Enquiry.xlsx › FETB_EDP_v1_1 › Enquiry Date, Enq Assign Date</w:t>
            </w:r>
          </w:p>
        </w:tc>
        <w:tc>
          <w:tcPr>
            <w:tcW w:type="dxa" w:w="480"/>
            <w:tcW w:w="480" w:type="dxa"/>
            <w:shd w:val="clear" w:color="auto" w:fill="F2F5FA"/>
          </w:tcPr>
          <w:p>
            <w:pPr>
              <w:spacing w:after="20" w:before="20"/>
              <w:jc w:val="center"/>
            </w:pPr>
            <w:r/>
            <w:r>
              <w:rPr>
                <w:rFonts w:ascii="Calibri" w:hAnsi="Calibri"/>
                <w:b w:val="0"/>
                <w:i w:val="0"/>
                <w:sz w:val="16"/>
              </w:rPr>
              <w:t>1.1</w:t>
            </w:r>
          </w:p>
        </w:tc>
        <w:tc>
          <w:tcPr>
            <w:tcW w:type="dxa" w:w="560"/>
            <w:tcW w:w="560" w:type="dxa"/>
            <w:shd w:val="clear" w:color="auto" w:fill="F2F5FA"/>
          </w:tcPr>
          <w:p>
            <w:pPr>
              <w:spacing w:after="20" w:before="20"/>
              <w:jc w:val="center"/>
            </w:pPr>
            <w:r/>
            <w:r>
              <w:rPr>
                <w:rFonts w:ascii="Calibri" w:hAnsi="Calibri"/>
                <w:b w:val="0"/>
                <w:i w:val="0"/>
                <w:sz w:val="16"/>
              </w:rPr>
              <w:t>82%</w:t>
            </w:r>
          </w:p>
        </w:tc>
        <w:tc>
          <w:tcPr>
            <w:tcW w:type="dxa" w:w="560"/>
            <w:tcW w:w="560" w:type="dxa"/>
            <w:shd w:val="clear" w:color="auto" w:fill="F2F5FA"/>
          </w:tcPr>
          <w:p>
            <w:pPr>
              <w:spacing w:after="20" w:before="20"/>
              <w:jc w:val="center"/>
            </w:pPr>
            <w:r/>
            <w:r>
              <w:rPr>
                <w:rFonts w:ascii="Calibri" w:hAnsi="Calibri"/>
                <w:b/>
                <w:i w:val="0"/>
                <w:sz w:val="16"/>
              </w:rPr>
              <w:t>0.9</w:t>
            </w:r>
          </w:p>
        </w:tc>
        <w:tc>
          <w:tcPr>
            <w:tcW w:type="dxa" w:w="3318"/>
            <w:tcW w:w="3318" w:type="dxa"/>
            <w:shd w:val="clear" w:color="auto" w:fill="F2F5FA"/>
            <w:shd w:val="clear" w:color="auto" w:fill="FFEB9C"/>
          </w:tcPr>
          <w:p>
            <w:pPr>
              <w:spacing w:after="20" w:before="20"/>
            </w:pPr>
            <w:r/>
            <w:r>
              <w:rPr>
                <w:rFonts w:ascii="Calibri" w:hAnsi="Calibri"/>
                <w:b w:val="0"/>
                <w:i w:val="0"/>
                <w:sz w:val="16"/>
              </w:rPr>
              <w:t>Amber — back-dating and end-of-day bulk entry indicated</w:t>
            </w:r>
          </w:p>
        </w:tc>
      </w:tr>
      <w:tr>
        <w:tc>
          <w:tcPr>
            <w:tcW w:type="dxa" w:w="520"/>
            <w:tcW w:w="520" w:type="dxa"/>
          </w:tcPr>
          <w:p>
            <w:pPr>
              <w:spacing w:after="20" w:before="20"/>
              <w:jc w:val="center"/>
            </w:pPr>
            <w:r/>
            <w:r>
              <w:rPr>
                <w:rFonts w:ascii="Calibri" w:hAnsi="Calibri"/>
                <w:b/>
                <w:i w:val="0"/>
                <w:sz w:val="16"/>
              </w:rPr>
              <w:t>1.5</w:t>
            </w:r>
          </w:p>
        </w:tc>
        <w:tc>
          <w:tcPr>
            <w:tcW w:type="dxa" w:w="1950"/>
            <w:tcW w:w="1950" w:type="dxa"/>
          </w:tcPr>
          <w:p>
            <w:pPr>
              <w:spacing w:after="20" w:before="20"/>
            </w:pPr>
            <w:r/>
            <w:r>
              <w:rPr>
                <w:rFonts w:ascii="Calibri" w:hAnsi="Calibri"/>
                <w:b w:val="0"/>
                <w:i w:val="0"/>
                <w:sz w:val="16"/>
              </w:rPr>
              <w:t>Lost enquiry reason coding</w:t>
            </w:r>
          </w:p>
        </w:tc>
        <w:tc>
          <w:tcPr>
            <w:tcW w:type="dxa" w:w="2850"/>
            <w:tcW w:w="2850" w:type="dxa"/>
          </w:tcPr>
          <w:p>
            <w:pPr>
              <w:spacing w:after="20" w:before="20"/>
            </w:pPr>
            <w:r/>
            <w:r>
              <w:rPr>
                <w:rFonts w:ascii="Calibri" w:hAnsi="Calibri"/>
                <w:b w:val="0"/>
                <w:i w:val="0"/>
                <w:sz w:val="16"/>
              </w:rPr>
              <w:t>Reason code on every lost enquiry and quality of the coding</w:t>
            </w:r>
          </w:p>
        </w:tc>
        <w:tc>
          <w:tcPr>
            <w:tcW w:type="dxa" w:w="2250"/>
            <w:tcW w:w="2250" w:type="dxa"/>
          </w:tcPr>
          <w:p>
            <w:pPr>
              <w:spacing w:after="20" w:before="20"/>
            </w:pPr>
            <w:r/>
            <w:r>
              <w:rPr>
                <w:rFonts w:ascii="Calibri" w:hAnsi="Calibri"/>
                <w:b w:val="0"/>
                <w:i w:val="0"/>
                <w:sz w:val="16"/>
              </w:rPr>
              <w:t>100% reason-coded, no single generic code dominating</w:t>
            </w:r>
          </w:p>
        </w:tc>
        <w:tc>
          <w:tcPr>
            <w:tcW w:type="dxa" w:w="3150"/>
            <w:tcW w:w="3150" w:type="dxa"/>
          </w:tcPr>
          <w:p>
            <w:pPr>
              <w:spacing w:after="20" w:before="20"/>
            </w:pPr>
            <w:r/>
            <w:r>
              <w:rPr>
                <w:rFonts w:ascii="Calibri" w:hAnsi="Calibri"/>
                <w:b w:val="0"/>
                <w:i w:val="0"/>
                <w:sz w:val="16"/>
              </w:rPr>
              <w:t>20 lost, 100.0% reason-coded; 90.0% coded “Not Interested”</w:t>
            </w:r>
          </w:p>
          <w:p>
            <w:pPr>
              <w:spacing w:after="20"/>
            </w:pPr>
            <w:r>
              <w:rPr>
                <w:rFonts w:ascii="Calibri" w:hAnsi="Calibri"/>
                <w:i/>
                <w:color w:val="2E5C8A"/>
                <w:sz w:val="14"/>
              </w:rPr>
              <w:t>Source: Enquiry.xlsx › FETB_EDP_v1_1 › Stage, Lost-Reason</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70%</w:t>
            </w:r>
          </w:p>
        </w:tc>
        <w:tc>
          <w:tcPr>
            <w:tcW w:type="dxa" w:w="560"/>
            <w:tcW w:w="560" w:type="dxa"/>
          </w:tcPr>
          <w:p>
            <w:pPr>
              <w:spacing w:after="20" w:before="20"/>
              <w:jc w:val="center"/>
            </w:pPr>
            <w:r/>
            <w:r>
              <w:rPr>
                <w:rFonts w:ascii="Calibri" w:hAnsi="Calibri"/>
                <w:b/>
                <w:i w:val="0"/>
                <w:sz w:val="16"/>
              </w:rPr>
              <w:t>1.4</w:t>
            </w:r>
          </w:p>
        </w:tc>
        <w:tc>
          <w:tcPr>
            <w:tcW w:type="dxa" w:w="3318"/>
            <w:tcW w:w="3318" w:type="dxa"/>
            <w:shd w:val="clear" w:color="auto" w:fill="FFC7CE"/>
          </w:tcPr>
          <w:p>
            <w:pPr>
              <w:spacing w:after="20" w:before="20"/>
            </w:pPr>
            <w:r/>
            <w:r>
              <w:rPr>
                <w:rFonts w:ascii="Calibri" w:hAnsi="Calibri"/>
                <w:b w:val="0"/>
                <w:i w:val="0"/>
                <w:sz w:val="16"/>
              </w:rPr>
              <w:t>Red — capture complete, coding generic</w:t>
            </w:r>
          </w:p>
        </w:tc>
      </w:tr>
      <w:tr>
        <w:tc>
          <w:tcPr>
            <w:tcW w:type="dxa" w:w="15638"/>
            <w:gridSpan w:val="9"/>
            <w:shd w:val="clear" w:color="auto" w:fill="DCE6F1"/>
          </w:tcPr>
          <w:p>
            <w:pPr>
              <w:spacing w:after="20" w:before="20"/>
            </w:pPr>
            <w:r/>
            <w:r>
              <w:rPr>
                <w:rFonts w:ascii="Calibri" w:hAnsi="Calibri"/>
                <w:b/>
                <w:i w:val="0"/>
                <w:color w:val="1F3864"/>
                <w:sz w:val="18"/>
              </w:rPr>
              <w:t>B. Funnel conversion health  —  weightage 14  (scored 14.0, achievement 59.8%)</w:t>
            </w:r>
          </w:p>
        </w:tc>
      </w:tr>
      <w:tr>
        <w:tc>
          <w:tcPr>
            <w:tcW w:type="dxa" w:w="520"/>
            <w:tcW w:w="520" w:type="dxa"/>
          </w:tcPr>
          <w:p>
            <w:pPr>
              <w:spacing w:after="20" w:before="20"/>
              <w:jc w:val="center"/>
            </w:pPr>
            <w:r/>
            <w:r>
              <w:rPr>
                <w:rFonts w:ascii="Calibri" w:hAnsi="Calibri"/>
                <w:b/>
                <w:i w:val="0"/>
                <w:sz w:val="16"/>
              </w:rPr>
              <w:t>2.1</w:t>
            </w:r>
          </w:p>
        </w:tc>
        <w:tc>
          <w:tcPr>
            <w:tcW w:type="dxa" w:w="1950"/>
            <w:tcW w:w="1950" w:type="dxa"/>
          </w:tcPr>
          <w:p>
            <w:pPr>
              <w:spacing w:after="20" w:before="20"/>
            </w:pPr>
            <w:r/>
            <w:r>
              <w:rPr>
                <w:rFonts w:ascii="Calibri" w:hAnsi="Calibri"/>
                <w:b w:val="0"/>
                <w:i w:val="0"/>
                <w:sz w:val="16"/>
              </w:rPr>
              <w:t>Enquiry to test drive</w:t>
            </w:r>
          </w:p>
        </w:tc>
        <w:tc>
          <w:tcPr>
            <w:tcW w:type="dxa" w:w="2850"/>
            <w:tcW w:w="2850" w:type="dxa"/>
          </w:tcPr>
          <w:p>
            <w:pPr>
              <w:spacing w:after="20" w:before="20"/>
            </w:pPr>
            <w:r/>
            <w:r>
              <w:rPr>
                <w:rFonts w:ascii="Calibri" w:hAnsi="Calibri"/>
                <w:b w:val="0"/>
                <w:i w:val="0"/>
                <w:sz w:val="16"/>
              </w:rPr>
              <w:t>Test drives completed against enquiries, split by source</w:t>
            </w:r>
          </w:p>
        </w:tc>
        <w:tc>
          <w:tcPr>
            <w:tcW w:type="dxa" w:w="2250"/>
            <w:tcW w:w="2250" w:type="dxa"/>
          </w:tcPr>
          <w:p>
            <w:pPr>
              <w:spacing w:after="20" w:before="20"/>
            </w:pPr>
            <w:r/>
            <w:r>
              <w:rPr>
                <w:rFonts w:ascii="Calibri" w:hAnsi="Calibri"/>
                <w:b w:val="0"/>
                <w:i w:val="0"/>
                <w:sz w:val="16"/>
              </w:rPr>
              <w:t>Walk-in ≥80%, digital ≥40%</w:t>
            </w:r>
          </w:p>
        </w:tc>
        <w:tc>
          <w:tcPr>
            <w:tcW w:type="dxa" w:w="3150"/>
            <w:tcW w:w="3150" w:type="dxa"/>
          </w:tcPr>
          <w:p>
            <w:pPr>
              <w:spacing w:after="20" w:before="20"/>
            </w:pPr>
            <w:r/>
            <w:r>
              <w:rPr>
                <w:rFonts w:ascii="Calibri" w:hAnsi="Calibri"/>
                <w:b w:val="0"/>
                <w:i w:val="0"/>
                <w:sz w:val="16"/>
              </w:rPr>
              <w:t>Digital 19.4%; Field 12.9%; Telephone 0.0%; Walk-in 57.5%</w:t>
            </w:r>
          </w:p>
          <w:p>
            <w:pPr>
              <w:spacing w:after="20"/>
            </w:pPr>
            <w:r>
              <w:rPr>
                <w:rFonts w:ascii="Calibri" w:hAnsi="Calibri"/>
                <w:i/>
                <w:color w:val="2E5C8A"/>
                <w:sz w:val="14"/>
              </w:rPr>
              <w:t>Source: Enquiry.xlsx › FETB_EDP_v1_1 › Enquiry Type, Test Drive Stage</w:t>
            </w:r>
          </w:p>
        </w:tc>
        <w:tc>
          <w:tcPr>
            <w:tcW w:type="dxa" w:w="480"/>
            <w:tcW w:w="480" w:type="dxa"/>
          </w:tcPr>
          <w:p>
            <w:pPr>
              <w:spacing w:after="20" w:before="20"/>
              <w:jc w:val="center"/>
            </w:pPr>
            <w:r/>
            <w:r>
              <w:rPr>
                <w:rFonts w:ascii="Calibri" w:hAnsi="Calibri"/>
                <w:b w:val="0"/>
                <w:i w:val="0"/>
                <w:sz w:val="16"/>
              </w:rPr>
              <w:t>3.8</w:t>
            </w:r>
          </w:p>
        </w:tc>
        <w:tc>
          <w:tcPr>
            <w:tcW w:type="dxa" w:w="560"/>
            <w:tcW w:w="560" w:type="dxa"/>
          </w:tcPr>
          <w:p>
            <w:pPr>
              <w:spacing w:after="20" w:before="20"/>
              <w:jc w:val="center"/>
            </w:pPr>
            <w:r/>
            <w:r>
              <w:rPr>
                <w:rFonts w:ascii="Calibri" w:hAnsi="Calibri"/>
                <w:b w:val="0"/>
                <w:i w:val="0"/>
                <w:sz w:val="16"/>
              </w:rPr>
              <w:t>60%</w:t>
            </w:r>
          </w:p>
        </w:tc>
        <w:tc>
          <w:tcPr>
            <w:tcW w:type="dxa" w:w="560"/>
            <w:tcW w:w="560" w:type="dxa"/>
          </w:tcPr>
          <w:p>
            <w:pPr>
              <w:spacing w:after="20" w:before="20"/>
              <w:jc w:val="center"/>
            </w:pPr>
            <w:r/>
            <w:r>
              <w:rPr>
                <w:rFonts w:ascii="Calibri" w:hAnsi="Calibri"/>
                <w:b/>
                <w:i w:val="0"/>
                <w:sz w:val="16"/>
              </w:rPr>
              <w:t>2.3</w:t>
            </w:r>
          </w:p>
        </w:tc>
        <w:tc>
          <w:tcPr>
            <w:tcW w:type="dxa" w:w="3318"/>
            <w:tcW w:w="3318" w:type="dxa"/>
            <w:shd w:val="clear" w:color="auto" w:fill="FFC7CE"/>
          </w:tcPr>
          <w:p>
            <w:pPr>
              <w:spacing w:after="20" w:before="20"/>
            </w:pPr>
            <w:r/>
            <w:r>
              <w:rPr>
                <w:rFonts w:ascii="Calibri" w:hAnsi="Calibri"/>
                <w:b w:val="0"/>
                <w:i w:val="0"/>
                <w:sz w:val="16"/>
              </w:rPr>
              <w:t>Red — walk-in 57.5% vs 80%, digital 19.4% vs 40%</w:t>
            </w:r>
          </w:p>
        </w:tc>
      </w:tr>
      <w:tr>
        <w:tc>
          <w:tcPr>
            <w:tcW w:type="dxa" w:w="520"/>
            <w:tcW w:w="520" w:type="dxa"/>
            <w:shd w:val="clear" w:color="auto" w:fill="F2F5FA"/>
          </w:tcPr>
          <w:p>
            <w:pPr>
              <w:spacing w:after="20" w:before="20"/>
              <w:jc w:val="center"/>
            </w:pPr>
            <w:r/>
            <w:r>
              <w:rPr>
                <w:rFonts w:ascii="Calibri" w:hAnsi="Calibri"/>
                <w:b/>
                <w:i w:val="0"/>
                <w:sz w:val="16"/>
              </w:rPr>
              <w:t>2.2</w:t>
            </w:r>
          </w:p>
        </w:tc>
        <w:tc>
          <w:tcPr>
            <w:tcW w:type="dxa" w:w="1950"/>
            <w:tcW w:w="1950" w:type="dxa"/>
            <w:shd w:val="clear" w:color="auto" w:fill="F2F5FA"/>
          </w:tcPr>
          <w:p>
            <w:pPr>
              <w:spacing w:after="20" w:before="20"/>
            </w:pPr>
            <w:r/>
            <w:r>
              <w:rPr>
                <w:rFonts w:ascii="Calibri" w:hAnsi="Calibri"/>
                <w:b w:val="0"/>
                <w:i w:val="0"/>
                <w:sz w:val="16"/>
              </w:rPr>
              <w:t>Test drive to booking</w:t>
            </w:r>
          </w:p>
        </w:tc>
        <w:tc>
          <w:tcPr>
            <w:tcW w:type="dxa" w:w="2850"/>
            <w:tcW w:w="2850" w:type="dxa"/>
            <w:shd w:val="clear" w:color="auto" w:fill="F2F5FA"/>
          </w:tcPr>
          <w:p>
            <w:pPr>
              <w:spacing w:after="20" w:before="20"/>
            </w:pPr>
            <w:r/>
            <w:r>
              <w:rPr>
                <w:rFonts w:ascii="Calibri" w:hAnsi="Calibri"/>
                <w:b w:val="0"/>
                <w:i w:val="0"/>
                <w:sz w:val="16"/>
              </w:rPr>
              <w:t>Bookings created against completed test drives</w:t>
            </w:r>
          </w:p>
        </w:tc>
        <w:tc>
          <w:tcPr>
            <w:tcW w:type="dxa" w:w="2250"/>
            <w:tcW w:w="2250" w:type="dxa"/>
            <w:shd w:val="clear" w:color="auto" w:fill="F2F5FA"/>
          </w:tcPr>
          <w:p>
            <w:pPr>
              <w:spacing w:after="20" w:before="20"/>
            </w:pPr>
            <w:r/>
            <w:r>
              <w:rPr>
                <w:rFonts w:ascii="Calibri" w:hAnsi="Calibri"/>
                <w:b w:val="0"/>
                <w:i w:val="0"/>
                <w:sz w:val="16"/>
              </w:rPr>
              <w:t>≥50%</w:t>
            </w:r>
          </w:p>
        </w:tc>
        <w:tc>
          <w:tcPr>
            <w:tcW w:type="dxa" w:w="3150"/>
            <w:tcW w:w="3150" w:type="dxa"/>
            <w:shd w:val="clear" w:color="auto" w:fill="F2F5FA"/>
          </w:tcPr>
          <w:p>
            <w:pPr>
              <w:spacing w:after="20" w:before="20"/>
            </w:pPr>
            <w:r/>
            <w:r>
              <w:rPr>
                <w:rFonts w:ascii="Calibri" w:hAnsi="Calibri"/>
                <w:b w:val="0"/>
                <w:i w:val="0"/>
                <w:sz w:val="16"/>
              </w:rPr>
              <w:t>59 bookings from 92 completed test drives = 64.1%</w:t>
            </w:r>
          </w:p>
          <w:p>
            <w:pPr>
              <w:spacing w:after="20"/>
            </w:pPr>
            <w:r>
              <w:rPr>
                <w:rFonts w:ascii="Calibri" w:hAnsi="Calibri"/>
                <w:i/>
                <w:color w:val="2E5C8A"/>
                <w:sz w:val="14"/>
              </w:rPr>
              <w:t>Source: Booking.xlsx › FETB_EDP_v1_1 + Test Drive.xlsx › FETB_EDP_v1_1</w:t>
            </w:r>
          </w:p>
        </w:tc>
        <w:tc>
          <w:tcPr>
            <w:tcW w:type="dxa" w:w="480"/>
            <w:tcW w:w="480" w:type="dxa"/>
            <w:shd w:val="clear" w:color="auto" w:fill="F2F5FA"/>
          </w:tcPr>
          <w:p>
            <w:pPr>
              <w:spacing w:after="20" w:before="20"/>
              <w:jc w:val="center"/>
            </w:pPr>
            <w:r/>
            <w:r>
              <w:rPr>
                <w:rFonts w:ascii="Calibri" w:hAnsi="Calibri"/>
                <w:b w:val="0"/>
                <w:i w:val="0"/>
                <w:sz w:val="16"/>
              </w:rPr>
              <w:t>2.8</w:t>
            </w:r>
          </w:p>
        </w:tc>
        <w:tc>
          <w:tcPr>
            <w:tcW w:type="dxa" w:w="560"/>
            <w:tcW w:w="560" w:type="dxa"/>
            <w:shd w:val="clear" w:color="auto" w:fill="F2F5FA"/>
          </w:tcPr>
          <w:p>
            <w:pPr>
              <w:spacing w:after="20" w:before="20"/>
              <w:jc w:val="center"/>
            </w:pPr>
            <w:r/>
            <w:r>
              <w:rPr>
                <w:rFonts w:ascii="Calibri" w:hAnsi="Calibri"/>
                <w:b w:val="0"/>
                <w:i w:val="0"/>
                <w:sz w:val="16"/>
              </w:rPr>
              <w:t>100%</w:t>
            </w:r>
          </w:p>
        </w:tc>
        <w:tc>
          <w:tcPr>
            <w:tcW w:type="dxa" w:w="560"/>
            <w:tcW w:w="560" w:type="dxa"/>
            <w:shd w:val="clear" w:color="auto" w:fill="F2F5FA"/>
          </w:tcPr>
          <w:p>
            <w:pPr>
              <w:spacing w:after="20" w:before="20"/>
              <w:jc w:val="center"/>
            </w:pPr>
            <w:r/>
            <w:r>
              <w:rPr>
                <w:rFonts w:ascii="Calibri" w:hAnsi="Calibri"/>
                <w:b/>
                <w:i w:val="0"/>
                <w:sz w:val="16"/>
              </w:rPr>
              <w:t>2.8</w:t>
            </w:r>
          </w:p>
        </w:tc>
        <w:tc>
          <w:tcPr>
            <w:tcW w:type="dxa" w:w="3318"/>
            <w:tcW w:w="3318" w:type="dxa"/>
            <w:shd w:val="clear" w:color="auto" w:fill="F2F5FA"/>
            <w:shd w:val="clear" w:color="auto" w:fill="C6EFCE"/>
          </w:tcPr>
          <w:p>
            <w:pPr>
              <w:spacing w:after="20" w:before="20"/>
            </w:pPr>
            <w:r/>
            <w:r>
              <w:rPr>
                <w:rFonts w:ascii="Calibri" w:hAnsi="Calibri"/>
                <w:b w:val="0"/>
                <w:i w:val="0"/>
                <w:sz w:val="16"/>
              </w:rPr>
              <w:t>Green — within norm</w:t>
            </w:r>
          </w:p>
        </w:tc>
      </w:tr>
      <w:tr>
        <w:tc>
          <w:tcPr>
            <w:tcW w:type="dxa" w:w="520"/>
            <w:tcW w:w="520" w:type="dxa"/>
          </w:tcPr>
          <w:p>
            <w:pPr>
              <w:spacing w:after="20" w:before="20"/>
              <w:jc w:val="center"/>
            </w:pPr>
            <w:r/>
            <w:r>
              <w:rPr>
                <w:rFonts w:ascii="Calibri" w:hAnsi="Calibri"/>
                <w:b/>
                <w:i w:val="0"/>
                <w:sz w:val="16"/>
              </w:rPr>
              <w:t>2.3</w:t>
            </w:r>
          </w:p>
        </w:tc>
        <w:tc>
          <w:tcPr>
            <w:tcW w:type="dxa" w:w="1950"/>
            <w:tcW w:w="1950" w:type="dxa"/>
          </w:tcPr>
          <w:p>
            <w:pPr>
              <w:spacing w:after="20" w:before="20"/>
            </w:pPr>
            <w:r/>
            <w:r>
              <w:rPr>
                <w:rFonts w:ascii="Calibri" w:hAnsi="Calibri"/>
                <w:b w:val="0"/>
                <w:i w:val="0"/>
                <w:sz w:val="16"/>
              </w:rPr>
              <w:t>Booking to retail</w:t>
            </w:r>
          </w:p>
        </w:tc>
        <w:tc>
          <w:tcPr>
            <w:tcW w:type="dxa" w:w="2850"/>
            <w:tcW w:w="2850" w:type="dxa"/>
          </w:tcPr>
          <w:p>
            <w:pPr>
              <w:spacing w:after="20" w:before="20"/>
            </w:pPr>
            <w:r/>
            <w:r>
              <w:rPr>
                <w:rFonts w:ascii="Calibri" w:hAnsi="Calibri"/>
                <w:b w:val="0"/>
                <w:i w:val="0"/>
                <w:sz w:val="16"/>
              </w:rPr>
              <w:t>Invoices raised against bookings created</w:t>
            </w:r>
          </w:p>
        </w:tc>
        <w:tc>
          <w:tcPr>
            <w:tcW w:type="dxa" w:w="2250"/>
            <w:tcW w:w="2250" w:type="dxa"/>
          </w:tcPr>
          <w:p>
            <w:pPr>
              <w:spacing w:after="20" w:before="20"/>
            </w:pPr>
            <w:r/>
            <w:r>
              <w:rPr>
                <w:rFonts w:ascii="Calibri" w:hAnsi="Calibri"/>
                <w:b w:val="0"/>
                <w:i w:val="0"/>
                <w:sz w:val="16"/>
              </w:rPr>
              <w:t>≥90%</w:t>
            </w:r>
          </w:p>
        </w:tc>
        <w:tc>
          <w:tcPr>
            <w:tcW w:type="dxa" w:w="3150"/>
            <w:tcW w:w="3150" w:type="dxa"/>
          </w:tcPr>
          <w:p>
            <w:pPr>
              <w:spacing w:after="20" w:before="20"/>
            </w:pPr>
            <w:r/>
            <w:r>
              <w:rPr>
                <w:rFonts w:ascii="Calibri" w:hAnsi="Calibri"/>
                <w:b w:val="0"/>
                <w:i w:val="0"/>
                <w:sz w:val="16"/>
              </w:rPr>
              <w:t>30 invoiced from 59 bookings = 50.8%</w:t>
            </w:r>
          </w:p>
          <w:p>
            <w:pPr>
              <w:spacing w:after="20"/>
            </w:pPr>
            <w:r>
              <w:rPr>
                <w:rFonts w:ascii="Calibri" w:hAnsi="Calibri"/>
                <w:i/>
                <w:color w:val="2E5C8A"/>
                <w:sz w:val="14"/>
              </w:rPr>
              <w:t>Source: Booking.xlsx › FETB_EDP_v1_1 › Booking Stage + Retails.xlsx › Export › Invoice Status</w:t>
            </w:r>
          </w:p>
        </w:tc>
        <w:tc>
          <w:tcPr>
            <w:tcW w:type="dxa" w:w="480"/>
            <w:tcW w:w="480" w:type="dxa"/>
          </w:tcPr>
          <w:p>
            <w:pPr>
              <w:spacing w:after="20" w:before="20"/>
              <w:jc w:val="center"/>
            </w:pPr>
            <w:r/>
            <w:r>
              <w:rPr>
                <w:rFonts w:ascii="Calibri" w:hAnsi="Calibri"/>
                <w:b w:val="0"/>
                <w:i w:val="0"/>
                <w:sz w:val="16"/>
              </w:rPr>
              <w:t>2.8</w:t>
            </w:r>
          </w:p>
        </w:tc>
        <w:tc>
          <w:tcPr>
            <w:tcW w:type="dxa" w:w="560"/>
            <w:tcW w:w="560" w:type="dxa"/>
          </w:tcPr>
          <w:p>
            <w:pPr>
              <w:spacing w:after="20" w:before="20"/>
              <w:jc w:val="center"/>
            </w:pPr>
            <w:r/>
            <w:r>
              <w:rPr>
                <w:rFonts w:ascii="Calibri" w:hAnsi="Calibri"/>
                <w:b w:val="0"/>
                <w:i w:val="0"/>
                <w:sz w:val="16"/>
              </w:rPr>
              <w:t>56%</w:t>
            </w:r>
          </w:p>
        </w:tc>
        <w:tc>
          <w:tcPr>
            <w:tcW w:type="dxa" w:w="560"/>
            <w:tcW w:w="560" w:type="dxa"/>
          </w:tcPr>
          <w:p>
            <w:pPr>
              <w:spacing w:after="20" w:before="20"/>
              <w:jc w:val="center"/>
            </w:pPr>
            <w:r/>
            <w:r>
              <w:rPr>
                <w:rFonts w:ascii="Calibri" w:hAnsi="Calibri"/>
                <w:b/>
                <w:i w:val="0"/>
                <w:sz w:val="16"/>
              </w:rPr>
              <w:t>1.6</w:t>
            </w:r>
          </w:p>
        </w:tc>
        <w:tc>
          <w:tcPr>
            <w:tcW w:type="dxa" w:w="3318"/>
            <w:tcW w:w="3318" w:type="dxa"/>
            <w:shd w:val="clear" w:color="auto" w:fill="FFC7CE"/>
          </w:tcPr>
          <w:p>
            <w:pPr>
              <w:spacing w:after="20" w:before="20"/>
            </w:pPr>
            <w:r/>
            <w:r>
              <w:rPr>
                <w:rFonts w:ascii="Calibri" w:hAnsi="Calibri"/>
                <w:b w:val="0"/>
                <w:i w:val="0"/>
                <w:sz w:val="16"/>
              </w:rPr>
              <w:t>Red — 29 bookings unconverted in the period</w:t>
            </w:r>
          </w:p>
        </w:tc>
      </w:tr>
      <w:tr>
        <w:tc>
          <w:tcPr>
            <w:tcW w:type="dxa" w:w="520"/>
            <w:tcW w:w="520" w:type="dxa"/>
            <w:shd w:val="clear" w:color="auto" w:fill="F2F5FA"/>
          </w:tcPr>
          <w:p>
            <w:pPr>
              <w:spacing w:after="20" w:before="20"/>
              <w:jc w:val="center"/>
            </w:pPr>
            <w:r/>
            <w:r>
              <w:rPr>
                <w:rFonts w:ascii="Calibri" w:hAnsi="Calibri"/>
                <w:b/>
                <w:i w:val="0"/>
                <w:sz w:val="16"/>
              </w:rPr>
              <w:t>2.4</w:t>
            </w:r>
          </w:p>
        </w:tc>
        <w:tc>
          <w:tcPr>
            <w:tcW w:type="dxa" w:w="1950"/>
            <w:tcW w:w="1950" w:type="dxa"/>
            <w:shd w:val="clear" w:color="auto" w:fill="F2F5FA"/>
          </w:tcPr>
          <w:p>
            <w:pPr>
              <w:spacing w:after="20" w:before="20"/>
            </w:pPr>
            <w:r/>
            <w:r>
              <w:rPr>
                <w:rFonts w:ascii="Calibri" w:hAnsi="Calibri"/>
                <w:b w:val="0"/>
                <w:i w:val="0"/>
                <w:sz w:val="16"/>
              </w:rPr>
              <w:t>Net enquiry to retail</w:t>
            </w:r>
          </w:p>
        </w:tc>
        <w:tc>
          <w:tcPr>
            <w:tcW w:type="dxa" w:w="2850"/>
            <w:tcW w:w="2850" w:type="dxa"/>
            <w:shd w:val="clear" w:color="auto" w:fill="F2F5FA"/>
          </w:tcPr>
          <w:p>
            <w:pPr>
              <w:spacing w:after="20" w:before="20"/>
            </w:pPr>
            <w:r/>
            <w:r>
              <w:rPr>
                <w:rFonts w:ascii="Calibri" w:hAnsi="Calibri"/>
                <w:b w:val="0"/>
                <w:i w:val="0"/>
                <w:sz w:val="16"/>
              </w:rPr>
              <w:t>Retails against enquiries for the period</w:t>
            </w:r>
          </w:p>
        </w:tc>
        <w:tc>
          <w:tcPr>
            <w:tcW w:type="dxa" w:w="2250"/>
            <w:tcW w:w="2250" w:type="dxa"/>
            <w:shd w:val="clear" w:color="auto" w:fill="F2F5FA"/>
          </w:tcPr>
          <w:p>
            <w:pPr>
              <w:spacing w:after="20" w:before="20"/>
            </w:pPr>
            <w:r/>
            <w:r>
              <w:rPr>
                <w:rFonts w:ascii="Calibri" w:hAnsi="Calibri"/>
                <w:b w:val="0"/>
                <w:i w:val="0"/>
                <w:sz w:val="16"/>
              </w:rPr>
              <w:t>≥25%</w:t>
            </w:r>
          </w:p>
        </w:tc>
        <w:tc>
          <w:tcPr>
            <w:tcW w:type="dxa" w:w="3150"/>
            <w:tcW w:w="3150" w:type="dxa"/>
            <w:shd w:val="clear" w:color="auto" w:fill="F2F5FA"/>
          </w:tcPr>
          <w:p>
            <w:pPr>
              <w:spacing w:after="20" w:before="20"/>
            </w:pPr>
            <w:r/>
            <w:r>
              <w:rPr>
                <w:rFonts w:ascii="Calibri" w:hAnsi="Calibri"/>
                <w:b w:val="0"/>
                <w:i w:val="0"/>
                <w:sz w:val="16"/>
              </w:rPr>
              <w:t>30 retails from 441 enquiries = 6.8%</w:t>
            </w:r>
          </w:p>
          <w:p>
            <w:pPr>
              <w:spacing w:after="20"/>
            </w:pPr>
            <w:r>
              <w:rPr>
                <w:rFonts w:ascii="Calibri" w:hAnsi="Calibri"/>
                <w:i/>
                <w:color w:val="2E5C8A"/>
                <w:sz w:val="14"/>
              </w:rPr>
              <w:t>Source: Enquiry.xlsx › FETB_EDP_v1_1 + Retails.xlsx › Export</w:t>
            </w:r>
          </w:p>
        </w:tc>
        <w:tc>
          <w:tcPr>
            <w:tcW w:type="dxa" w:w="480"/>
            <w:tcW w:w="480" w:type="dxa"/>
            <w:shd w:val="clear" w:color="auto" w:fill="F2F5FA"/>
          </w:tcPr>
          <w:p>
            <w:pPr>
              <w:spacing w:after="20" w:before="20"/>
              <w:jc w:val="center"/>
            </w:pPr>
            <w:r/>
            <w:r>
              <w:rPr>
                <w:rFonts w:ascii="Calibri" w:hAnsi="Calibri"/>
                <w:b w:val="0"/>
                <w:i w:val="0"/>
                <w:sz w:val="16"/>
              </w:rPr>
              <w:t>2.8</w:t>
            </w:r>
          </w:p>
        </w:tc>
        <w:tc>
          <w:tcPr>
            <w:tcW w:type="dxa" w:w="560"/>
            <w:tcW w:w="560" w:type="dxa"/>
            <w:shd w:val="clear" w:color="auto" w:fill="F2F5FA"/>
          </w:tcPr>
          <w:p>
            <w:pPr>
              <w:spacing w:after="20" w:before="20"/>
              <w:jc w:val="center"/>
            </w:pPr>
            <w:r/>
            <w:r>
              <w:rPr>
                <w:rFonts w:ascii="Calibri" w:hAnsi="Calibri"/>
                <w:b w:val="0"/>
                <w:i w:val="0"/>
                <w:sz w:val="16"/>
              </w:rPr>
              <w:t>27%</w:t>
            </w:r>
          </w:p>
        </w:tc>
        <w:tc>
          <w:tcPr>
            <w:tcW w:type="dxa" w:w="560"/>
            <w:tcW w:w="560" w:type="dxa"/>
            <w:shd w:val="clear" w:color="auto" w:fill="F2F5FA"/>
          </w:tcPr>
          <w:p>
            <w:pPr>
              <w:spacing w:after="20" w:before="20"/>
              <w:jc w:val="center"/>
            </w:pPr>
            <w:r/>
            <w:r>
              <w:rPr>
                <w:rFonts w:ascii="Calibri" w:hAnsi="Calibri"/>
                <w:b/>
                <w:i w:val="0"/>
                <w:sz w:val="16"/>
              </w:rPr>
              <w:t>0.8</w:t>
            </w:r>
          </w:p>
        </w:tc>
        <w:tc>
          <w:tcPr>
            <w:tcW w:type="dxa" w:w="3318"/>
            <w:tcW w:w="3318" w:type="dxa"/>
            <w:shd w:val="clear" w:color="auto" w:fill="F2F5FA"/>
            <w:shd w:val="clear" w:color="auto" w:fill="FFC7CE"/>
          </w:tcPr>
          <w:p>
            <w:pPr>
              <w:spacing w:after="20" w:before="20"/>
            </w:pPr>
            <w:r/>
            <w:r>
              <w:rPr>
                <w:rFonts w:ascii="Calibri" w:hAnsi="Calibri"/>
                <w:b w:val="0"/>
                <w:i w:val="0"/>
                <w:sz w:val="16"/>
              </w:rPr>
              <w:t>Red — 18.2 points below norm</w:t>
            </w:r>
          </w:p>
        </w:tc>
      </w:tr>
      <w:tr>
        <w:tc>
          <w:tcPr>
            <w:tcW w:type="dxa" w:w="520"/>
            <w:tcW w:w="520" w:type="dxa"/>
          </w:tcPr>
          <w:p>
            <w:pPr>
              <w:spacing w:after="20" w:before="20"/>
              <w:jc w:val="center"/>
            </w:pPr>
            <w:r/>
            <w:r>
              <w:rPr>
                <w:rFonts w:ascii="Calibri" w:hAnsi="Calibri"/>
                <w:b/>
                <w:i w:val="0"/>
                <w:sz w:val="16"/>
              </w:rPr>
              <w:t>2.5</w:t>
            </w:r>
          </w:p>
        </w:tc>
        <w:tc>
          <w:tcPr>
            <w:tcW w:type="dxa" w:w="1950"/>
            <w:tcW w:w="1950" w:type="dxa"/>
          </w:tcPr>
          <w:p>
            <w:pPr>
              <w:spacing w:after="20" w:before="20"/>
            </w:pPr>
            <w:r/>
            <w:r>
              <w:rPr>
                <w:rFonts w:ascii="Calibri" w:hAnsi="Calibri"/>
                <w:b w:val="0"/>
                <w:i w:val="0"/>
                <w:sz w:val="16"/>
              </w:rPr>
              <w:t>Live enquiry ageing</w:t>
            </w:r>
          </w:p>
        </w:tc>
        <w:tc>
          <w:tcPr>
            <w:tcW w:type="dxa" w:w="2850"/>
            <w:tcW w:w="2850" w:type="dxa"/>
          </w:tcPr>
          <w:p>
            <w:pPr>
              <w:spacing w:after="20" w:before="20"/>
            </w:pPr>
            <w:r/>
            <w:r>
              <w:rPr>
                <w:rFonts w:ascii="Calibri" w:hAnsi="Calibri"/>
                <w:b w:val="0"/>
                <w:i w:val="0"/>
                <w:sz w:val="16"/>
              </w:rPr>
              <w:t>Age profile of open enquiries at the audit date</w:t>
            </w:r>
          </w:p>
        </w:tc>
        <w:tc>
          <w:tcPr>
            <w:tcW w:type="dxa" w:w="2250"/>
            <w:tcW w:w="2250" w:type="dxa"/>
          </w:tcPr>
          <w:p>
            <w:pPr>
              <w:spacing w:after="20" w:before="20"/>
            </w:pPr>
            <w:r/>
            <w:r>
              <w:rPr>
                <w:rFonts w:ascii="Calibri" w:hAnsi="Calibri"/>
                <w:b w:val="0"/>
                <w:i w:val="0"/>
                <w:sz w:val="16"/>
              </w:rPr>
              <w:t>&lt;20% older than 30 days</w:t>
            </w:r>
          </w:p>
        </w:tc>
        <w:tc>
          <w:tcPr>
            <w:tcW w:type="dxa" w:w="3150"/>
            <w:tcW w:w="3150" w:type="dxa"/>
          </w:tcPr>
          <w:p>
            <w:pPr>
              <w:spacing w:after="20" w:before="20"/>
            </w:pPr>
            <w:r/>
            <w:r>
              <w:rPr>
                <w:rFonts w:ascii="Calibri" w:hAnsi="Calibri"/>
                <w:b w:val="0"/>
                <w:i w:val="0"/>
                <w:sz w:val="16"/>
              </w:rPr>
              <w:t>361 live; 138 (38.2%) beyond 15 days (extract spans one month, so a 15-day threshold is used)</w:t>
            </w:r>
          </w:p>
          <w:p>
            <w:pPr>
              <w:spacing w:after="20"/>
            </w:pPr>
            <w:r>
              <w:rPr>
                <w:rFonts w:ascii="Calibri" w:hAnsi="Calibri"/>
                <w:i/>
                <w:color w:val="2E5C8A"/>
                <w:sz w:val="14"/>
              </w:rPr>
              <w:t>Source: Enquiry.xlsx › FETB_EDP_v1_1 › Stage, Enquiry Date</w:t>
            </w:r>
          </w:p>
        </w:tc>
        <w:tc>
          <w:tcPr>
            <w:tcW w:type="dxa" w:w="480"/>
            <w:tcW w:w="480" w:type="dxa"/>
          </w:tcPr>
          <w:p>
            <w:pPr>
              <w:spacing w:after="20" w:before="20"/>
              <w:jc w:val="center"/>
            </w:pPr>
            <w:r/>
            <w:r>
              <w:rPr>
                <w:rFonts w:ascii="Calibri" w:hAnsi="Calibri"/>
                <w:b w:val="0"/>
                <w:i w:val="0"/>
                <w:sz w:val="16"/>
              </w:rPr>
              <w:t>1.8</w:t>
            </w:r>
          </w:p>
        </w:tc>
        <w:tc>
          <w:tcPr>
            <w:tcW w:type="dxa" w:w="560"/>
            <w:tcW w:w="560" w:type="dxa"/>
          </w:tcPr>
          <w:p>
            <w:pPr>
              <w:spacing w:after="20" w:before="20"/>
              <w:jc w:val="center"/>
            </w:pPr>
            <w:r/>
            <w:r>
              <w:rPr>
                <w:rFonts w:ascii="Calibri" w:hAnsi="Calibri"/>
                <w:b w:val="0"/>
                <w:i w:val="0"/>
                <w:sz w:val="16"/>
              </w:rPr>
              <w:t>52%</w:t>
            </w:r>
          </w:p>
        </w:tc>
        <w:tc>
          <w:tcPr>
            <w:tcW w:type="dxa" w:w="560"/>
            <w:tcW w:w="560" w:type="dxa"/>
          </w:tcPr>
          <w:p>
            <w:pPr>
              <w:spacing w:after="20" w:before="20"/>
              <w:jc w:val="center"/>
            </w:pPr>
            <w:r/>
            <w:r>
              <w:rPr>
                <w:rFonts w:ascii="Calibri" w:hAnsi="Calibri"/>
                <w:b/>
                <w:i w:val="0"/>
                <w:sz w:val="16"/>
              </w:rPr>
              <w:t>0.9</w:t>
            </w:r>
          </w:p>
        </w:tc>
        <w:tc>
          <w:tcPr>
            <w:tcW w:type="dxa" w:w="3318"/>
            <w:tcW w:w="3318" w:type="dxa"/>
            <w:shd w:val="clear" w:color="auto" w:fill="FFC7CE"/>
          </w:tcPr>
          <w:p>
            <w:pPr>
              <w:spacing w:after="20" w:before="20"/>
            </w:pPr>
            <w:r/>
            <w:r>
              <w:rPr>
                <w:rFonts w:ascii="Calibri" w:hAnsi="Calibri"/>
                <w:b w:val="0"/>
                <w:i w:val="0"/>
                <w:sz w:val="16"/>
              </w:rPr>
              <w:t>Red — open book ageing beyond norm</w:t>
            </w:r>
          </w:p>
        </w:tc>
      </w:tr>
      <w:tr>
        <w:tc>
          <w:tcPr>
            <w:tcW w:type="dxa" w:w="15638"/>
            <w:gridSpan w:val="9"/>
            <w:shd w:val="clear" w:color="auto" w:fill="DCE6F1"/>
          </w:tcPr>
          <w:p>
            <w:pPr>
              <w:spacing w:after="20" w:before="20"/>
            </w:pPr>
            <w:r/>
            <w:r>
              <w:rPr>
                <w:rFonts w:ascii="Calibri" w:hAnsi="Calibri"/>
                <w:b/>
                <w:i w:val="0"/>
                <w:color w:val="1F3864"/>
                <w:sz w:val="18"/>
              </w:rPr>
              <w:t>C. Volume, order bank and market share  —  weightage 13  (scored 9.9, achievement 89.5%)</w:t>
            </w:r>
          </w:p>
        </w:tc>
      </w:tr>
      <w:tr>
        <w:tc>
          <w:tcPr>
            <w:tcW w:type="dxa" w:w="520"/>
            <w:tcW w:w="520" w:type="dxa"/>
          </w:tcPr>
          <w:p>
            <w:pPr>
              <w:spacing w:after="20" w:before="20"/>
              <w:jc w:val="center"/>
            </w:pPr>
            <w:r/>
            <w:r>
              <w:rPr>
                <w:rFonts w:ascii="Calibri" w:hAnsi="Calibri"/>
                <w:b/>
                <w:i w:val="0"/>
                <w:sz w:val="16"/>
              </w:rPr>
              <w:t>3.1</w:t>
            </w:r>
          </w:p>
        </w:tc>
        <w:tc>
          <w:tcPr>
            <w:tcW w:type="dxa" w:w="1950"/>
            <w:tcW w:w="1950" w:type="dxa"/>
          </w:tcPr>
          <w:p>
            <w:pPr>
              <w:spacing w:after="20" w:before="20"/>
            </w:pPr>
            <w:r/>
            <w:r>
              <w:rPr>
                <w:rFonts w:ascii="Calibri" w:hAnsi="Calibri"/>
                <w:b w:val="0"/>
                <w:i w:val="0"/>
                <w:sz w:val="16"/>
              </w:rPr>
              <w:t>Retail against target</w:t>
            </w:r>
          </w:p>
        </w:tc>
        <w:tc>
          <w:tcPr>
            <w:tcW w:type="dxa" w:w="2850"/>
            <w:tcW w:w="2850" w:type="dxa"/>
          </w:tcPr>
          <w:p>
            <w:pPr>
              <w:spacing w:after="20" w:before="20"/>
            </w:pPr>
            <w:r/>
            <w:r>
              <w:rPr>
                <w:rFonts w:ascii="Calibri" w:hAnsi="Calibri"/>
                <w:b w:val="0"/>
                <w:i w:val="0"/>
                <w:sz w:val="16"/>
              </w:rPr>
              <w:t>Invoices raised against the retail target for the period</w:t>
            </w:r>
          </w:p>
        </w:tc>
        <w:tc>
          <w:tcPr>
            <w:tcW w:type="dxa" w:w="2250"/>
            <w:tcW w:w="2250" w:type="dxa"/>
          </w:tcPr>
          <w:p>
            <w:pPr>
              <w:spacing w:after="20" w:before="20"/>
            </w:pPr>
            <w:r/>
            <w:r>
              <w:rPr>
                <w:rFonts w:ascii="Calibri" w:hAnsi="Calibri"/>
                <w:b w:val="0"/>
                <w:i w:val="0"/>
                <w:sz w:val="16"/>
              </w:rPr>
              <w:t>100% of target</w:t>
            </w:r>
          </w:p>
        </w:tc>
        <w:tc>
          <w:tcPr>
            <w:tcW w:type="dxa" w:w="3150"/>
            <w:tcW w:w="3150" w:type="dxa"/>
          </w:tcPr>
          <w:p>
            <w:pPr>
              <w:spacing w:after="20" w:before="20"/>
            </w:pPr>
            <w:r/>
            <w:r>
              <w:rPr>
                <w:rFonts w:ascii="Calibri" w:hAnsi="Calibri"/>
                <w:b w:val="0"/>
                <w:i w:val="0"/>
                <w:sz w:val="16"/>
              </w:rPr>
              <w:t>30 invoiced, 3 cancelled (9.1%)</w:t>
            </w:r>
          </w:p>
          <w:p>
            <w:pPr>
              <w:spacing w:after="20"/>
            </w:pPr>
            <w:r>
              <w:rPr>
                <w:rFonts w:ascii="Calibri" w:hAnsi="Calibri"/>
                <w:i/>
                <w:color w:val="2E5C8A"/>
                <w:sz w:val="14"/>
              </w:rPr>
              <w:t>Source: Retails.xlsx › Export › Invoice Status  |  Sales_Target_-_Clean.xlsx</w:t>
            </w:r>
          </w:p>
        </w:tc>
        <w:tc>
          <w:tcPr>
            <w:tcW w:type="dxa" w:w="480"/>
            <w:tcW w:w="480" w:type="dxa"/>
          </w:tcPr>
          <w:p>
            <w:pPr>
              <w:spacing w:after="20" w:before="20"/>
              <w:jc w:val="center"/>
            </w:pPr>
            <w:r/>
            <w:r>
              <w:rPr>
                <w:rFonts w:ascii="Calibri" w:hAnsi="Calibri"/>
                <w:b w:val="0"/>
                <w:i w:val="0"/>
                <w:sz w:val="16"/>
              </w:rPr>
              <w:t>3.9</w:t>
            </w:r>
          </w:p>
        </w:tc>
        <w:tc>
          <w:tcPr>
            <w:tcW w:type="dxa" w:w="560"/>
            <w:tcW w:w="560" w:type="dxa"/>
          </w:tcPr>
          <w:p>
            <w:pPr>
              <w:spacing w:after="20" w:before="20"/>
              <w:jc w:val="center"/>
            </w:pPr>
            <w:r/>
            <w:r>
              <w:rPr>
                <w:rFonts w:ascii="Calibri" w:hAnsi="Calibri"/>
                <w:b w:val="0"/>
                <w:i w:val="0"/>
                <w:sz w:val="16"/>
              </w:rPr>
              <w:t>100%</w:t>
            </w:r>
          </w:p>
        </w:tc>
        <w:tc>
          <w:tcPr>
            <w:tcW w:type="dxa" w:w="560"/>
            <w:tcW w:w="560" w:type="dxa"/>
          </w:tcPr>
          <w:p>
            <w:pPr>
              <w:spacing w:after="20" w:before="20"/>
              <w:jc w:val="center"/>
            </w:pPr>
            <w:r/>
            <w:r>
              <w:rPr>
                <w:rFonts w:ascii="Calibri" w:hAnsi="Calibri"/>
                <w:b/>
                <w:i w:val="0"/>
                <w:sz w:val="16"/>
              </w:rPr>
              <w:t>3.9</w:t>
            </w:r>
          </w:p>
        </w:tc>
        <w:tc>
          <w:tcPr>
            <w:tcW w:type="dxa" w:w="3318"/>
            <w:tcW w:w="3318" w:type="dxa"/>
            <w:shd w:val="clear" w:color="auto" w:fill="C6EFCE"/>
          </w:tcPr>
          <w:p>
            <w:pPr>
              <w:spacing w:after="20" w:before="20"/>
            </w:pPr>
            <w:r/>
            <w:r>
              <w:rPr>
                <w:rFonts w:ascii="Calibri" w:hAnsi="Calibri"/>
                <w:b w:val="0"/>
                <w:i w:val="0"/>
                <w:sz w:val="16"/>
              </w:rPr>
              <w:t>Green — monthly target 35 × 0.77 months covered = 27</w:t>
            </w:r>
          </w:p>
        </w:tc>
      </w:tr>
      <w:tr>
        <w:tc>
          <w:tcPr>
            <w:tcW w:type="dxa" w:w="520"/>
            <w:tcW w:w="520" w:type="dxa"/>
            <w:shd w:val="clear" w:color="auto" w:fill="F2F5FA"/>
          </w:tcPr>
          <w:p>
            <w:pPr>
              <w:spacing w:after="20" w:before="20"/>
              <w:jc w:val="center"/>
            </w:pPr>
            <w:r/>
            <w:r>
              <w:rPr>
                <w:rFonts w:ascii="Calibri" w:hAnsi="Calibri"/>
                <w:b/>
                <w:i w:val="0"/>
                <w:sz w:val="16"/>
              </w:rPr>
              <w:t>3.2</w:t>
            </w:r>
          </w:p>
        </w:tc>
        <w:tc>
          <w:tcPr>
            <w:tcW w:type="dxa" w:w="1950"/>
            <w:tcW w:w="1950" w:type="dxa"/>
            <w:shd w:val="clear" w:color="auto" w:fill="F2F5FA"/>
          </w:tcPr>
          <w:p>
            <w:pPr>
              <w:spacing w:after="20" w:before="20"/>
            </w:pPr>
            <w:r/>
            <w:r>
              <w:rPr>
                <w:rFonts w:ascii="Calibri" w:hAnsi="Calibri"/>
                <w:b w:val="0"/>
                <w:i w:val="0"/>
                <w:sz w:val="16"/>
              </w:rPr>
              <w:t>Order bank cover</w:t>
            </w:r>
          </w:p>
        </w:tc>
        <w:tc>
          <w:tcPr>
            <w:tcW w:type="dxa" w:w="2850"/>
            <w:tcW w:w="2850" w:type="dxa"/>
            <w:shd w:val="clear" w:color="auto" w:fill="F2F5FA"/>
          </w:tcPr>
          <w:p>
            <w:pPr>
              <w:spacing w:after="20" w:before="20"/>
            </w:pPr>
            <w:r/>
            <w:r>
              <w:rPr>
                <w:rFonts w:ascii="Calibri" w:hAnsi="Calibri"/>
                <w:b w:val="0"/>
                <w:i w:val="0"/>
                <w:sz w:val="16"/>
              </w:rPr>
              <w:t>Open confirmed bookings divided by monthly retail</w:t>
            </w:r>
          </w:p>
        </w:tc>
        <w:tc>
          <w:tcPr>
            <w:tcW w:type="dxa" w:w="2250"/>
            <w:tcW w:w="2250" w:type="dxa"/>
            <w:shd w:val="clear" w:color="auto" w:fill="F2F5FA"/>
          </w:tcPr>
          <w:p>
            <w:pPr>
              <w:spacing w:after="20" w:before="20"/>
            </w:pPr>
            <w:r/>
            <w:r>
              <w:rPr>
                <w:rFonts w:ascii="Calibri" w:hAnsi="Calibri"/>
                <w:b w:val="0"/>
                <w:i w:val="0"/>
                <w:sz w:val="16"/>
              </w:rPr>
              <w:t>≥1.2 months of cover</w:t>
            </w:r>
          </w:p>
        </w:tc>
        <w:tc>
          <w:tcPr>
            <w:tcW w:type="dxa" w:w="3150"/>
            <w:tcW w:w="3150" w:type="dxa"/>
            <w:shd w:val="clear" w:color="auto" w:fill="F2F5FA"/>
          </w:tcPr>
          <w:p>
            <w:pPr>
              <w:spacing w:after="20" w:before="20"/>
            </w:pPr>
            <w:r/>
            <w:r>
              <w:rPr>
                <w:rFonts w:ascii="Calibri" w:hAnsi="Calibri"/>
                <w:b w:val="0"/>
                <w:i w:val="0"/>
                <w:sz w:val="16"/>
              </w:rPr>
              <w:t>32 open bookings ÷ 30 monthly retail rate = 1.07 months</w:t>
            </w:r>
          </w:p>
          <w:p>
            <w:pPr>
              <w:spacing w:after="20"/>
            </w:pPr>
            <w:r>
              <w:rPr>
                <w:rFonts w:ascii="Calibri" w:hAnsi="Calibri"/>
                <w:i/>
                <w:color w:val="2E5C8A"/>
                <w:sz w:val="14"/>
              </w:rPr>
              <w:t>Source: Booking.xlsx › FETB_EDP_v1_1 › Booking Stage</w:t>
            </w:r>
          </w:p>
        </w:tc>
        <w:tc>
          <w:tcPr>
            <w:tcW w:type="dxa" w:w="480"/>
            <w:tcW w:w="480" w:type="dxa"/>
            <w:shd w:val="clear" w:color="auto" w:fill="F2F5FA"/>
          </w:tcPr>
          <w:p>
            <w:pPr>
              <w:spacing w:after="20" w:before="20"/>
              <w:jc w:val="center"/>
            </w:pPr>
            <w:r/>
            <w:r>
              <w:rPr>
                <w:rFonts w:ascii="Calibri" w:hAnsi="Calibri"/>
                <w:b w:val="0"/>
                <w:i w:val="0"/>
                <w:sz w:val="16"/>
              </w:rPr>
              <w:t>2.1</w:t>
            </w:r>
          </w:p>
        </w:tc>
        <w:tc>
          <w:tcPr>
            <w:tcW w:type="dxa" w:w="560"/>
            <w:tcW w:w="560" w:type="dxa"/>
            <w:shd w:val="clear" w:color="auto" w:fill="F2F5FA"/>
          </w:tcPr>
          <w:p>
            <w:pPr>
              <w:spacing w:after="20" w:before="20"/>
              <w:jc w:val="center"/>
            </w:pPr>
            <w:r/>
            <w:r>
              <w:rPr>
                <w:rFonts w:ascii="Calibri" w:hAnsi="Calibri"/>
                <w:b w:val="0"/>
                <w:i w:val="0"/>
                <w:sz w:val="16"/>
              </w:rPr>
              <w:t>89%</w:t>
            </w:r>
          </w:p>
        </w:tc>
        <w:tc>
          <w:tcPr>
            <w:tcW w:type="dxa" w:w="560"/>
            <w:tcW w:w="560" w:type="dxa"/>
            <w:shd w:val="clear" w:color="auto" w:fill="F2F5FA"/>
          </w:tcPr>
          <w:p>
            <w:pPr>
              <w:spacing w:after="20" w:before="20"/>
              <w:jc w:val="center"/>
            </w:pPr>
            <w:r/>
            <w:r>
              <w:rPr>
                <w:rFonts w:ascii="Calibri" w:hAnsi="Calibri"/>
                <w:b/>
                <w:i w:val="0"/>
                <w:sz w:val="16"/>
              </w:rPr>
              <w:t>1.9</w:t>
            </w:r>
          </w:p>
        </w:tc>
        <w:tc>
          <w:tcPr>
            <w:tcW w:type="dxa" w:w="3318"/>
            <w:tcW w:w="3318" w:type="dxa"/>
            <w:shd w:val="clear" w:color="auto" w:fill="F2F5FA"/>
            <w:shd w:val="clear" w:color="auto" w:fill="FFEB9C"/>
          </w:tcPr>
          <w:p>
            <w:pPr>
              <w:spacing w:after="20" w:before="20"/>
            </w:pPr>
            <w:r/>
            <w:r>
              <w:rPr>
                <w:rFonts w:ascii="Calibri" w:hAnsi="Calibri"/>
                <w:b w:val="0"/>
                <w:i w:val="0"/>
                <w:sz w:val="16"/>
              </w:rPr>
              <w:t>Amber — cover below norm</w:t>
            </w:r>
          </w:p>
        </w:tc>
      </w:tr>
      <w:tr>
        <w:tc>
          <w:tcPr>
            <w:tcW w:type="dxa" w:w="520"/>
            <w:tcW w:w="520" w:type="dxa"/>
          </w:tcPr>
          <w:p>
            <w:pPr>
              <w:spacing w:after="20" w:before="20"/>
              <w:jc w:val="center"/>
            </w:pPr>
            <w:r/>
            <w:r>
              <w:rPr>
                <w:rFonts w:ascii="Calibri" w:hAnsi="Calibri"/>
                <w:b/>
                <w:i w:val="0"/>
                <w:sz w:val="16"/>
              </w:rPr>
              <w:t>3.3</w:t>
            </w:r>
          </w:p>
        </w:tc>
        <w:tc>
          <w:tcPr>
            <w:tcW w:type="dxa" w:w="1950"/>
            <w:tcW w:w="1950" w:type="dxa"/>
          </w:tcPr>
          <w:p>
            <w:pPr>
              <w:spacing w:after="20" w:before="20"/>
            </w:pPr>
            <w:r/>
            <w:r>
              <w:rPr>
                <w:rFonts w:ascii="Calibri" w:hAnsi="Calibri"/>
                <w:b w:val="0"/>
                <w:i w:val="0"/>
                <w:sz w:val="16"/>
              </w:rPr>
              <w:t>Market share in territory</w:t>
            </w:r>
          </w:p>
        </w:tc>
        <w:tc>
          <w:tcPr>
            <w:tcW w:type="dxa" w:w="2850"/>
            <w:tcW w:w="2850" w:type="dxa"/>
          </w:tcPr>
          <w:p>
            <w:pPr>
              <w:spacing w:after="20" w:before="20"/>
            </w:pPr>
            <w:r/>
            <w:r>
              <w:rPr>
                <w:rFonts w:ascii="Calibri" w:hAnsi="Calibri"/>
                <w:b w:val="0"/>
                <w:i w:val="0"/>
                <w:sz w:val="16"/>
              </w:rPr>
              <w:t>Registrations in the territory against segment total</w:t>
            </w:r>
          </w:p>
        </w:tc>
        <w:tc>
          <w:tcPr>
            <w:tcW w:type="dxa" w:w="2250"/>
            <w:tcW w:w="2250" w:type="dxa"/>
          </w:tcPr>
          <w:p>
            <w:pPr>
              <w:spacing w:after="20" w:before="20"/>
            </w:pPr>
            <w:r/>
            <w:r>
              <w:rPr>
                <w:rFonts w:ascii="Calibri" w:hAnsi="Calibri"/>
                <w:b w:val="0"/>
                <w:i w:val="0"/>
                <w:sz w:val="16"/>
              </w:rPr>
              <w:t>≥ OEM share norm</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1.8</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VAHAN registration data not supplied</w:t>
            </w:r>
          </w:p>
        </w:tc>
      </w:tr>
      <w:tr>
        <w:tc>
          <w:tcPr>
            <w:tcW w:type="dxa" w:w="520"/>
            <w:tcW w:w="520" w:type="dxa"/>
            <w:shd w:val="clear" w:color="auto" w:fill="F2F5FA"/>
          </w:tcPr>
          <w:p>
            <w:pPr>
              <w:spacing w:after="20" w:before="20"/>
              <w:jc w:val="center"/>
            </w:pPr>
            <w:r/>
            <w:r>
              <w:rPr>
                <w:rFonts w:ascii="Calibri" w:hAnsi="Calibri"/>
                <w:b/>
                <w:i w:val="0"/>
                <w:sz w:val="16"/>
              </w:rPr>
              <w:t>3.4</w:t>
            </w:r>
          </w:p>
        </w:tc>
        <w:tc>
          <w:tcPr>
            <w:tcW w:type="dxa" w:w="1950"/>
            <w:tcW w:w="1950" w:type="dxa"/>
            <w:shd w:val="clear" w:color="auto" w:fill="F2F5FA"/>
          </w:tcPr>
          <w:p>
            <w:pPr>
              <w:spacing w:after="20" w:before="20"/>
            </w:pPr>
            <w:r/>
            <w:r>
              <w:rPr>
                <w:rFonts w:ascii="Calibri" w:hAnsi="Calibri"/>
                <w:b w:val="0"/>
                <w:i w:val="0"/>
                <w:sz w:val="16"/>
              </w:rPr>
              <w:t>Model and variant mix</w:t>
            </w:r>
          </w:p>
        </w:tc>
        <w:tc>
          <w:tcPr>
            <w:tcW w:type="dxa" w:w="2850"/>
            <w:tcW w:w="2850" w:type="dxa"/>
            <w:shd w:val="clear" w:color="auto" w:fill="F2F5FA"/>
          </w:tcPr>
          <w:p>
            <w:pPr>
              <w:spacing w:after="20" w:before="20"/>
            </w:pPr>
            <w:r/>
            <w:r>
              <w:rPr>
                <w:rFonts w:ascii="Calibri" w:hAnsi="Calibri"/>
                <w:b w:val="0"/>
                <w:i w:val="0"/>
                <w:sz w:val="16"/>
              </w:rPr>
              <w:t>Retail mix against planned mix</w:t>
            </w:r>
          </w:p>
        </w:tc>
        <w:tc>
          <w:tcPr>
            <w:tcW w:type="dxa" w:w="2250"/>
            <w:tcW w:w="2250" w:type="dxa"/>
            <w:shd w:val="clear" w:color="auto" w:fill="F2F5FA"/>
          </w:tcPr>
          <w:p>
            <w:pPr>
              <w:spacing w:after="20" w:before="20"/>
            </w:pPr>
            <w:r/>
            <w:r>
              <w:rPr>
                <w:rFonts w:ascii="Calibri" w:hAnsi="Calibri"/>
                <w:b w:val="0"/>
                <w:i w:val="0"/>
                <w:sz w:val="16"/>
              </w:rPr>
              <w:t>Within ±10% of plan for every model</w:t>
            </w:r>
          </w:p>
        </w:tc>
        <w:tc>
          <w:tcPr>
            <w:tcW w:type="dxa" w:w="3150"/>
            <w:tcW w:w="3150" w:type="dxa"/>
            <w:shd w:val="clear" w:color="auto" w:fill="F2F5FA"/>
          </w:tcPr>
          <w:p>
            <w:pPr>
              <w:spacing w:after="20" w:before="20"/>
            </w:pPr>
            <w:r/>
            <w:r>
              <w:rPr>
                <w:rFonts w:ascii="Calibri" w:hAnsi="Calibri"/>
                <w:b w:val="0"/>
                <w:i w:val="0"/>
                <w:sz w:val="16"/>
              </w:rPr>
              <w:t>MAXX HD 11; PICK UP 9; MAXX CITY 5; VEERO 3</w:t>
            </w:r>
          </w:p>
          <w:p>
            <w:pPr>
              <w:spacing w:after="20"/>
            </w:pPr>
            <w:r>
              <w:rPr>
                <w:rFonts w:ascii="Calibri" w:hAnsi="Calibri"/>
                <w:i/>
                <w:color w:val="2E5C8A"/>
                <w:sz w:val="14"/>
              </w:rPr>
              <w:t>Source: Retails.xlsx › Export › Model Group</w:t>
            </w:r>
          </w:p>
        </w:tc>
        <w:tc>
          <w:tcPr>
            <w:tcW w:type="dxa" w:w="480"/>
            <w:tcW w:w="480" w:type="dxa"/>
            <w:shd w:val="clear" w:color="auto" w:fill="F2F5FA"/>
          </w:tcPr>
          <w:p>
            <w:pPr>
              <w:spacing w:after="20" w:before="20"/>
              <w:jc w:val="center"/>
            </w:pPr>
            <w:r/>
            <w:r>
              <w:rPr>
                <w:rFonts w:ascii="Calibri" w:hAnsi="Calibri"/>
                <w:b w:val="0"/>
                <w:i w:val="0"/>
                <w:sz w:val="16"/>
              </w:rPr>
              <w:t>1.3</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planned model mix not supplied</w:t>
            </w:r>
          </w:p>
        </w:tc>
      </w:tr>
      <w:tr>
        <w:tc>
          <w:tcPr>
            <w:tcW w:type="dxa" w:w="520"/>
            <w:tcW w:w="520" w:type="dxa"/>
          </w:tcPr>
          <w:p>
            <w:pPr>
              <w:spacing w:after="20" w:before="20"/>
              <w:jc w:val="center"/>
            </w:pPr>
            <w:r/>
            <w:r>
              <w:rPr>
                <w:rFonts w:ascii="Calibri" w:hAnsi="Calibri"/>
                <w:b/>
                <w:i w:val="0"/>
                <w:sz w:val="16"/>
              </w:rPr>
              <w:t>3.5</w:t>
            </w:r>
          </w:p>
        </w:tc>
        <w:tc>
          <w:tcPr>
            <w:tcW w:type="dxa" w:w="1950"/>
            <w:tcW w:w="1950" w:type="dxa"/>
          </w:tcPr>
          <w:p>
            <w:pPr>
              <w:spacing w:after="20" w:before="20"/>
            </w:pPr>
            <w:r/>
            <w:r>
              <w:rPr>
                <w:rFonts w:ascii="Calibri" w:hAnsi="Calibri"/>
                <w:b w:val="0"/>
                <w:i w:val="0"/>
                <w:sz w:val="16"/>
              </w:rPr>
              <w:t>Test drive against target</w:t>
            </w:r>
          </w:p>
        </w:tc>
        <w:tc>
          <w:tcPr>
            <w:tcW w:type="dxa" w:w="2850"/>
            <w:tcW w:w="2850" w:type="dxa"/>
          </w:tcPr>
          <w:p>
            <w:pPr>
              <w:spacing w:after="20" w:before="20"/>
            </w:pPr>
            <w:r/>
            <w:r>
              <w:rPr>
                <w:rFonts w:ascii="Calibri" w:hAnsi="Calibri"/>
                <w:b w:val="0"/>
                <w:i w:val="0"/>
                <w:sz w:val="16"/>
              </w:rPr>
              <w:t>Test drives recorded against the target for the period</w:t>
            </w:r>
          </w:p>
        </w:tc>
        <w:tc>
          <w:tcPr>
            <w:tcW w:type="dxa" w:w="2250"/>
            <w:tcW w:w="2250" w:type="dxa"/>
          </w:tcPr>
          <w:p>
            <w:pPr>
              <w:spacing w:after="20" w:before="20"/>
            </w:pPr>
            <w:r/>
            <w:r>
              <w:rPr>
                <w:rFonts w:ascii="Calibri" w:hAnsi="Calibri"/>
                <w:b w:val="0"/>
                <w:i w:val="0"/>
                <w:sz w:val="16"/>
              </w:rPr>
              <w:t>100% of target</w:t>
            </w:r>
          </w:p>
        </w:tc>
        <w:tc>
          <w:tcPr>
            <w:tcW w:type="dxa" w:w="3150"/>
            <w:tcW w:w="3150" w:type="dxa"/>
          </w:tcPr>
          <w:p>
            <w:pPr>
              <w:spacing w:after="20" w:before="20"/>
            </w:pPr>
            <w:r/>
            <w:r>
              <w:rPr>
                <w:rFonts w:ascii="Calibri" w:hAnsi="Calibri"/>
                <w:b w:val="0"/>
                <w:i w:val="0"/>
                <w:sz w:val="16"/>
              </w:rPr>
              <w:t>92 recorded over 0.94 months</w:t>
            </w:r>
          </w:p>
          <w:p>
            <w:pPr>
              <w:spacing w:after="20"/>
            </w:pPr>
            <w:r>
              <w:rPr>
                <w:rFonts w:ascii="Calibri" w:hAnsi="Calibri"/>
                <w:i/>
                <w:color w:val="2E5C8A"/>
                <w:sz w:val="14"/>
              </w:rPr>
              <w:t>Source: Test Drive.xlsx › FETB_EDP_v1_1 › Stage  |  Sales_Target_-_Clean.xlsx</w:t>
            </w:r>
          </w:p>
        </w:tc>
        <w:tc>
          <w:tcPr>
            <w:tcW w:type="dxa" w:w="480"/>
            <w:tcW w:w="480" w:type="dxa"/>
          </w:tcPr>
          <w:p>
            <w:pPr>
              <w:spacing w:after="20" w:before="20"/>
              <w:jc w:val="center"/>
            </w:pPr>
            <w:r/>
            <w:r>
              <w:rPr>
                <w:rFonts w:ascii="Calibri" w:hAnsi="Calibri"/>
                <w:b w:val="0"/>
                <w:i w:val="0"/>
                <w:sz w:val="16"/>
              </w:rPr>
              <w:t>1.9</w:t>
            </w:r>
          </w:p>
        </w:tc>
        <w:tc>
          <w:tcPr>
            <w:tcW w:type="dxa" w:w="560"/>
            <w:tcW w:w="560" w:type="dxa"/>
          </w:tcPr>
          <w:p>
            <w:pPr>
              <w:spacing w:after="20" w:before="20"/>
              <w:jc w:val="center"/>
            </w:pPr>
            <w:r/>
            <w:r>
              <w:rPr>
                <w:rFonts w:ascii="Calibri" w:hAnsi="Calibri"/>
                <w:b w:val="0"/>
                <w:i w:val="0"/>
                <w:sz w:val="16"/>
              </w:rPr>
              <w:t>58%</w:t>
            </w:r>
          </w:p>
        </w:tc>
        <w:tc>
          <w:tcPr>
            <w:tcW w:type="dxa" w:w="560"/>
            <w:tcW w:w="560" w:type="dxa"/>
          </w:tcPr>
          <w:p>
            <w:pPr>
              <w:spacing w:after="20" w:before="20"/>
              <w:jc w:val="center"/>
            </w:pPr>
            <w:r/>
            <w:r>
              <w:rPr>
                <w:rFonts w:ascii="Calibri" w:hAnsi="Calibri"/>
                <w:b/>
                <w:i w:val="0"/>
                <w:sz w:val="16"/>
              </w:rPr>
              <w:t>1.1</w:t>
            </w:r>
          </w:p>
        </w:tc>
        <w:tc>
          <w:tcPr>
            <w:tcW w:type="dxa" w:w="3318"/>
            <w:tcW w:w="3318" w:type="dxa"/>
            <w:shd w:val="clear" w:color="auto" w:fill="FFC7CE"/>
          </w:tcPr>
          <w:p>
            <w:pPr>
              <w:spacing w:after="20" w:before="20"/>
            </w:pPr>
            <w:r/>
            <w:r>
              <w:rPr>
                <w:rFonts w:ascii="Calibri" w:hAnsi="Calibri"/>
                <w:b w:val="0"/>
                <w:i w:val="0"/>
                <w:sz w:val="16"/>
              </w:rPr>
              <w:t>Red — monthly target 169 × 0.94 months covered = 158</w:t>
            </w:r>
          </w:p>
        </w:tc>
      </w:tr>
      <w:tr>
        <w:tc>
          <w:tcPr>
            <w:tcW w:type="dxa" w:w="520"/>
            <w:tcW w:w="520" w:type="dxa"/>
            <w:shd w:val="clear" w:color="auto" w:fill="F2F5FA"/>
          </w:tcPr>
          <w:p>
            <w:pPr>
              <w:spacing w:after="20" w:before="20"/>
              <w:jc w:val="center"/>
            </w:pPr>
            <w:r/>
            <w:r>
              <w:rPr>
                <w:rFonts w:ascii="Calibri" w:hAnsi="Calibri"/>
                <w:b/>
                <w:i w:val="0"/>
                <w:sz w:val="16"/>
              </w:rPr>
              <w:t>3.6</w:t>
            </w:r>
          </w:p>
        </w:tc>
        <w:tc>
          <w:tcPr>
            <w:tcW w:type="dxa" w:w="1950"/>
            <w:tcW w:w="1950" w:type="dxa"/>
            <w:shd w:val="clear" w:color="auto" w:fill="F2F5FA"/>
          </w:tcPr>
          <w:p>
            <w:pPr>
              <w:spacing w:after="20" w:before="20"/>
            </w:pPr>
            <w:r/>
            <w:r>
              <w:rPr>
                <w:rFonts w:ascii="Calibri" w:hAnsi="Calibri"/>
                <w:b w:val="0"/>
                <w:i w:val="0"/>
                <w:sz w:val="16"/>
              </w:rPr>
              <w:t>Booking against target</w:t>
            </w:r>
          </w:p>
        </w:tc>
        <w:tc>
          <w:tcPr>
            <w:tcW w:type="dxa" w:w="2850"/>
            <w:tcW w:w="2850" w:type="dxa"/>
            <w:shd w:val="clear" w:color="auto" w:fill="F2F5FA"/>
          </w:tcPr>
          <w:p>
            <w:pPr>
              <w:spacing w:after="20" w:before="20"/>
            </w:pPr>
            <w:r/>
            <w:r>
              <w:rPr>
                <w:rFonts w:ascii="Calibri" w:hAnsi="Calibri"/>
                <w:b w:val="0"/>
                <w:i w:val="0"/>
                <w:sz w:val="16"/>
              </w:rPr>
              <w:t>Bookings recorded against the target for the period</w:t>
            </w:r>
          </w:p>
        </w:tc>
        <w:tc>
          <w:tcPr>
            <w:tcW w:type="dxa" w:w="2250"/>
            <w:tcW w:w="2250" w:type="dxa"/>
            <w:shd w:val="clear" w:color="auto" w:fill="F2F5FA"/>
          </w:tcPr>
          <w:p>
            <w:pPr>
              <w:spacing w:after="20" w:before="20"/>
            </w:pPr>
            <w:r/>
            <w:r>
              <w:rPr>
                <w:rFonts w:ascii="Calibri" w:hAnsi="Calibri"/>
                <w:b w:val="0"/>
                <w:i w:val="0"/>
                <w:sz w:val="16"/>
              </w:rPr>
              <w:t>100% of target</w:t>
            </w:r>
          </w:p>
        </w:tc>
        <w:tc>
          <w:tcPr>
            <w:tcW w:type="dxa" w:w="3150"/>
            <w:tcW w:w="3150" w:type="dxa"/>
            <w:shd w:val="clear" w:color="auto" w:fill="F2F5FA"/>
          </w:tcPr>
          <w:p>
            <w:pPr>
              <w:spacing w:after="20" w:before="20"/>
            </w:pPr>
            <w:r/>
            <w:r>
              <w:rPr>
                <w:rFonts w:ascii="Calibri" w:hAnsi="Calibri"/>
                <w:b w:val="0"/>
                <w:i w:val="0"/>
                <w:sz w:val="16"/>
              </w:rPr>
              <w:t>59 recorded over 0.74 months</w:t>
            </w:r>
          </w:p>
          <w:p>
            <w:pPr>
              <w:spacing w:after="20"/>
            </w:pPr>
            <w:r>
              <w:rPr>
                <w:rFonts w:ascii="Calibri" w:hAnsi="Calibri"/>
                <w:i/>
                <w:color w:val="2E5C8A"/>
                <w:sz w:val="14"/>
              </w:rPr>
              <w:t>Source: Booking.xlsx › FETB_EDP_v1_1 › Booking Number  |  Sales_Target_-_Clean.xlsx</w:t>
            </w:r>
          </w:p>
        </w:tc>
        <w:tc>
          <w:tcPr>
            <w:tcW w:type="dxa" w:w="480"/>
            <w:tcW w:w="480" w:type="dxa"/>
            <w:shd w:val="clear" w:color="auto" w:fill="F2F5FA"/>
          </w:tcPr>
          <w:p>
            <w:pPr>
              <w:spacing w:after="20" w:before="20"/>
              <w:jc w:val="center"/>
            </w:pPr>
            <w:r/>
            <w:r>
              <w:rPr>
                <w:rFonts w:ascii="Calibri" w:hAnsi="Calibri"/>
                <w:b w:val="0"/>
                <w:i w:val="0"/>
                <w:sz w:val="16"/>
              </w:rPr>
              <w:t>1.9</w:t>
            </w:r>
          </w:p>
        </w:tc>
        <w:tc>
          <w:tcPr>
            <w:tcW w:type="dxa" w:w="560"/>
            <w:tcW w:w="560" w:type="dxa"/>
            <w:shd w:val="clear" w:color="auto" w:fill="F2F5FA"/>
          </w:tcPr>
          <w:p>
            <w:pPr>
              <w:spacing w:after="20" w:before="20"/>
              <w:jc w:val="center"/>
            </w:pPr>
            <w:r/>
            <w:r>
              <w:rPr>
                <w:rFonts w:ascii="Calibri" w:hAnsi="Calibri"/>
                <w:b w:val="0"/>
                <w:i w:val="0"/>
                <w:sz w:val="16"/>
              </w:rPr>
              <w:t>100%</w:t>
            </w:r>
          </w:p>
        </w:tc>
        <w:tc>
          <w:tcPr>
            <w:tcW w:type="dxa" w:w="560"/>
            <w:tcW w:w="560" w:type="dxa"/>
            <w:shd w:val="clear" w:color="auto" w:fill="F2F5FA"/>
          </w:tcPr>
          <w:p>
            <w:pPr>
              <w:spacing w:after="20" w:before="20"/>
              <w:jc w:val="center"/>
            </w:pPr>
            <w:r/>
            <w:r>
              <w:rPr>
                <w:rFonts w:ascii="Calibri" w:hAnsi="Calibri"/>
                <w:b/>
                <w:i w:val="0"/>
                <w:sz w:val="16"/>
              </w:rPr>
              <w:t>1.9</w:t>
            </w:r>
          </w:p>
        </w:tc>
        <w:tc>
          <w:tcPr>
            <w:tcW w:type="dxa" w:w="3318"/>
            <w:tcW w:w="3318" w:type="dxa"/>
            <w:shd w:val="clear" w:color="auto" w:fill="F2F5FA"/>
            <w:shd w:val="clear" w:color="auto" w:fill="C6EFCE"/>
          </w:tcPr>
          <w:p>
            <w:pPr>
              <w:spacing w:after="20" w:before="20"/>
            </w:pPr>
            <w:r/>
            <w:r>
              <w:rPr>
                <w:rFonts w:ascii="Calibri" w:hAnsi="Calibri"/>
                <w:b w:val="0"/>
                <w:i w:val="0"/>
                <w:sz w:val="16"/>
              </w:rPr>
              <w:t>Green — monthly target 46 × 0.74 months covered = 34</w:t>
            </w:r>
          </w:p>
        </w:tc>
      </w:tr>
      <w:tr>
        <w:tc>
          <w:tcPr>
            <w:tcW w:type="dxa" w:w="15638"/>
            <w:gridSpan w:val="9"/>
            <w:shd w:val="clear" w:color="auto" w:fill="DCE6F1"/>
          </w:tcPr>
          <w:p>
            <w:pPr>
              <w:spacing w:after="20" w:before="20"/>
            </w:pPr>
            <w:r/>
            <w:r>
              <w:rPr>
                <w:rFonts w:ascii="Calibri" w:hAnsi="Calibri"/>
                <w:b/>
                <w:i w:val="0"/>
                <w:color w:val="1F3864"/>
                <w:sz w:val="18"/>
              </w:rPr>
              <w:t>D. Manpower health and productivity  —  weightage 9  (scored 3.0, achievement 28.6%)</w:t>
            </w:r>
          </w:p>
        </w:tc>
      </w:tr>
      <w:tr>
        <w:tc>
          <w:tcPr>
            <w:tcW w:type="dxa" w:w="520"/>
            <w:tcW w:w="520" w:type="dxa"/>
          </w:tcPr>
          <w:p>
            <w:pPr>
              <w:spacing w:after="20" w:before="20"/>
              <w:jc w:val="center"/>
            </w:pPr>
            <w:r/>
            <w:r>
              <w:rPr>
                <w:rFonts w:ascii="Calibri" w:hAnsi="Calibri"/>
                <w:b/>
                <w:i w:val="0"/>
                <w:sz w:val="16"/>
              </w:rPr>
              <w:t>4.1</w:t>
            </w:r>
          </w:p>
        </w:tc>
        <w:tc>
          <w:tcPr>
            <w:tcW w:type="dxa" w:w="1950"/>
            <w:tcW w:w="1950" w:type="dxa"/>
          </w:tcPr>
          <w:p>
            <w:pPr>
              <w:spacing w:after="20" w:before="20"/>
            </w:pPr>
            <w:r/>
            <w:r>
              <w:rPr>
                <w:rFonts w:ascii="Calibri" w:hAnsi="Calibri"/>
                <w:b w:val="0"/>
                <w:i w:val="0"/>
                <w:sz w:val="16"/>
              </w:rPr>
              <w:t>Consultant strength against norm</w:t>
            </w:r>
          </w:p>
        </w:tc>
        <w:tc>
          <w:tcPr>
            <w:tcW w:type="dxa" w:w="2850"/>
            <w:tcW w:w="2850" w:type="dxa"/>
          </w:tcPr>
          <w:p>
            <w:pPr>
              <w:spacing w:after="20" w:before="20"/>
            </w:pPr>
            <w:r/>
            <w:r>
              <w:rPr>
                <w:rFonts w:ascii="Calibri" w:hAnsi="Calibri"/>
                <w:b w:val="0"/>
                <w:i w:val="0"/>
                <w:sz w:val="16"/>
              </w:rPr>
              <w:t>On-roll consultants against sanctioned manpower</w:t>
            </w:r>
          </w:p>
        </w:tc>
        <w:tc>
          <w:tcPr>
            <w:tcW w:type="dxa" w:w="2250"/>
            <w:tcW w:w="2250" w:type="dxa"/>
          </w:tcPr>
          <w:p>
            <w:pPr>
              <w:spacing w:after="20" w:before="20"/>
            </w:pPr>
            <w:r/>
            <w:r>
              <w:rPr>
                <w:rFonts w:ascii="Calibri" w:hAnsi="Calibri"/>
                <w:b w:val="0"/>
                <w:i w:val="0"/>
                <w:sz w:val="16"/>
              </w:rPr>
              <w:t>100% of sanctioned strength</w:t>
            </w:r>
          </w:p>
        </w:tc>
        <w:tc>
          <w:tcPr>
            <w:tcW w:type="dxa" w:w="3150"/>
            <w:tcW w:w="3150" w:type="dxa"/>
          </w:tcPr>
          <w:p>
            <w:pPr>
              <w:spacing w:after="20" w:before="20"/>
            </w:pPr>
            <w:r/>
            <w:r>
              <w:rPr>
                <w:rFonts w:ascii="Calibri" w:hAnsi="Calibri"/>
                <w:b w:val="0"/>
                <w:i w:val="0"/>
                <w:sz w:val="16"/>
              </w:rPr>
              <w:t>13 consultants raising enquiries, 12 with at least one retail</w:t>
            </w:r>
          </w:p>
          <w:p>
            <w:pPr>
              <w:spacing w:after="20"/>
            </w:pPr>
            <w:r>
              <w:rPr>
                <w:rFonts w:ascii="Calibri" w:hAnsi="Calibri"/>
                <w:i/>
                <w:color w:val="2E5C8A"/>
                <w:sz w:val="14"/>
              </w:rPr>
              <w:t>Source: Enquiry.xlsx › FETB_EDP_v1_1 › Sales Consultant + Retails.xlsx › Export › SC Name</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sanctioned manpower not supplied in norms.yaml</w:t>
            </w:r>
          </w:p>
        </w:tc>
      </w:tr>
      <w:tr>
        <w:tc>
          <w:tcPr>
            <w:tcW w:type="dxa" w:w="520"/>
            <w:tcW w:w="520" w:type="dxa"/>
            <w:shd w:val="clear" w:color="auto" w:fill="F2F5FA"/>
          </w:tcPr>
          <w:p>
            <w:pPr>
              <w:spacing w:after="20" w:before="20"/>
              <w:jc w:val="center"/>
            </w:pPr>
            <w:r/>
            <w:r>
              <w:rPr>
                <w:rFonts w:ascii="Calibri" w:hAnsi="Calibri"/>
                <w:b/>
                <w:i w:val="0"/>
                <w:sz w:val="16"/>
              </w:rPr>
              <w:t>4.2</w:t>
            </w:r>
          </w:p>
        </w:tc>
        <w:tc>
          <w:tcPr>
            <w:tcW w:type="dxa" w:w="1950"/>
            <w:tcW w:w="1950" w:type="dxa"/>
            <w:shd w:val="clear" w:color="auto" w:fill="F2F5FA"/>
          </w:tcPr>
          <w:p>
            <w:pPr>
              <w:spacing w:after="20" w:before="20"/>
            </w:pPr>
            <w:r/>
            <w:r>
              <w:rPr>
                <w:rFonts w:ascii="Calibri" w:hAnsi="Calibri"/>
                <w:b w:val="0"/>
                <w:i w:val="0"/>
                <w:sz w:val="16"/>
              </w:rPr>
              <w:t>Productivity per consultant</w:t>
            </w:r>
          </w:p>
        </w:tc>
        <w:tc>
          <w:tcPr>
            <w:tcW w:type="dxa" w:w="2850"/>
            <w:tcW w:w="2850" w:type="dxa"/>
            <w:shd w:val="clear" w:color="auto" w:fill="F2F5FA"/>
          </w:tcPr>
          <w:p>
            <w:pPr>
              <w:spacing w:after="20" w:before="20"/>
            </w:pPr>
            <w:r/>
            <w:r>
              <w:rPr>
                <w:rFonts w:ascii="Calibri" w:hAnsi="Calibri"/>
                <w:b w:val="0"/>
                <w:i w:val="0"/>
                <w:sz w:val="16"/>
              </w:rPr>
              <w:t>Retails per consultant for the period</w:t>
            </w:r>
          </w:p>
        </w:tc>
        <w:tc>
          <w:tcPr>
            <w:tcW w:type="dxa" w:w="2250"/>
            <w:tcW w:w="2250" w:type="dxa"/>
            <w:shd w:val="clear" w:color="auto" w:fill="F2F5FA"/>
          </w:tcPr>
          <w:p>
            <w:pPr>
              <w:spacing w:after="20" w:before="20"/>
            </w:pPr>
            <w:r/>
            <w:r>
              <w:rPr>
                <w:rFonts w:ascii="Calibri" w:hAnsi="Calibri"/>
                <w:b w:val="0"/>
                <w:i w:val="0"/>
                <w:sz w:val="16"/>
              </w:rPr>
              <w:t>≥8 retails per consultant per month</w:t>
            </w:r>
          </w:p>
        </w:tc>
        <w:tc>
          <w:tcPr>
            <w:tcW w:type="dxa" w:w="3150"/>
            <w:tcW w:w="3150" w:type="dxa"/>
            <w:shd w:val="clear" w:color="auto" w:fill="F2F5FA"/>
          </w:tcPr>
          <w:p>
            <w:pPr>
              <w:spacing w:after="20" w:before="20"/>
            </w:pPr>
            <w:r/>
            <w:r>
              <w:rPr>
                <w:rFonts w:ascii="Calibri" w:hAnsi="Calibri"/>
                <w:b w:val="0"/>
                <w:i w:val="0"/>
                <w:sz w:val="16"/>
              </w:rPr>
              <w:t>2.3 retails per consultant over 29 day(s); 1 consultants with nil retail</w:t>
            </w:r>
          </w:p>
          <w:p>
            <w:pPr>
              <w:spacing w:after="20"/>
            </w:pPr>
            <w:r>
              <w:rPr>
                <w:rFonts w:ascii="Calibri" w:hAnsi="Calibri"/>
                <w:i/>
                <w:color w:val="2E5C8A"/>
                <w:sz w:val="14"/>
              </w:rPr>
              <w:t>Source: Retails.xlsx › Export › SC Name</w:t>
            </w:r>
          </w:p>
        </w:tc>
        <w:tc>
          <w:tcPr>
            <w:tcW w:type="dxa" w:w="480"/>
            <w:tcW w:w="480" w:type="dxa"/>
            <w:shd w:val="clear" w:color="auto" w:fill="F2F5FA"/>
          </w:tcPr>
          <w:p>
            <w:pPr>
              <w:spacing w:after="20" w:before="20"/>
              <w:jc w:val="center"/>
            </w:pPr>
            <w:r/>
            <w:r>
              <w:rPr>
                <w:rFonts w:ascii="Calibri" w:hAnsi="Calibri"/>
                <w:b w:val="0"/>
                <w:i w:val="0"/>
                <w:sz w:val="16"/>
              </w:rPr>
              <w:t>3.0</w:t>
            </w:r>
          </w:p>
        </w:tc>
        <w:tc>
          <w:tcPr>
            <w:tcW w:type="dxa" w:w="560"/>
            <w:tcW w:w="560" w:type="dxa"/>
            <w:shd w:val="clear" w:color="auto" w:fill="F2F5FA"/>
          </w:tcPr>
          <w:p>
            <w:pPr>
              <w:spacing w:after="20" w:before="20"/>
              <w:jc w:val="center"/>
            </w:pPr>
            <w:r/>
            <w:r>
              <w:rPr>
                <w:rFonts w:ascii="Calibri" w:hAnsi="Calibri"/>
                <w:b w:val="0"/>
                <w:i w:val="0"/>
                <w:sz w:val="16"/>
              </w:rPr>
              <w:t>29%</w:t>
            </w:r>
          </w:p>
        </w:tc>
        <w:tc>
          <w:tcPr>
            <w:tcW w:type="dxa" w:w="560"/>
            <w:tcW w:w="560" w:type="dxa"/>
            <w:shd w:val="clear" w:color="auto" w:fill="F2F5FA"/>
          </w:tcPr>
          <w:p>
            <w:pPr>
              <w:spacing w:after="20" w:before="20"/>
              <w:jc w:val="center"/>
            </w:pPr>
            <w:r/>
            <w:r>
              <w:rPr>
                <w:rFonts w:ascii="Calibri" w:hAnsi="Calibri"/>
                <w:b/>
                <w:i w:val="0"/>
                <w:sz w:val="16"/>
              </w:rPr>
              <w:t>0.8</w:t>
            </w:r>
          </w:p>
        </w:tc>
        <w:tc>
          <w:tcPr>
            <w:tcW w:type="dxa" w:w="3318"/>
            <w:tcW w:w="3318" w:type="dxa"/>
            <w:shd w:val="clear" w:color="auto" w:fill="F2F5FA"/>
            <w:shd w:val="clear" w:color="auto" w:fill="FFC7CE"/>
          </w:tcPr>
          <w:p>
            <w:pPr>
              <w:spacing w:after="20" w:before="20"/>
            </w:pPr>
            <w:r/>
            <w:r>
              <w:rPr>
                <w:rFonts w:ascii="Calibri" w:hAnsi="Calibri"/>
                <w:b w:val="0"/>
                <w:i w:val="0"/>
                <w:sz w:val="16"/>
              </w:rPr>
              <w:t>Red — norm is 8</w:t>
            </w:r>
          </w:p>
        </w:tc>
      </w:tr>
      <w:tr>
        <w:tc>
          <w:tcPr>
            <w:tcW w:type="dxa" w:w="520"/>
            <w:tcW w:w="520" w:type="dxa"/>
          </w:tcPr>
          <w:p>
            <w:pPr>
              <w:spacing w:after="20" w:before="20"/>
              <w:jc w:val="center"/>
            </w:pPr>
            <w:r/>
            <w:r>
              <w:rPr>
                <w:rFonts w:ascii="Calibri" w:hAnsi="Calibri"/>
                <w:b/>
                <w:i w:val="0"/>
                <w:sz w:val="16"/>
              </w:rPr>
              <w:t>4.3</w:t>
            </w:r>
          </w:p>
        </w:tc>
        <w:tc>
          <w:tcPr>
            <w:tcW w:type="dxa" w:w="1950"/>
            <w:tcW w:w="1950" w:type="dxa"/>
          </w:tcPr>
          <w:p>
            <w:pPr>
              <w:spacing w:after="20" w:before="20"/>
            </w:pPr>
            <w:r/>
            <w:r>
              <w:rPr>
                <w:rFonts w:ascii="Calibri" w:hAnsi="Calibri"/>
                <w:b w:val="0"/>
                <w:i w:val="0"/>
                <w:sz w:val="16"/>
              </w:rPr>
              <w:t>Attrition</w:t>
            </w:r>
          </w:p>
        </w:tc>
        <w:tc>
          <w:tcPr>
            <w:tcW w:type="dxa" w:w="2850"/>
            <w:tcW w:w="2850" w:type="dxa"/>
          </w:tcPr>
          <w:p>
            <w:pPr>
              <w:spacing w:after="20" w:before="20"/>
            </w:pPr>
            <w:r/>
            <w:r>
              <w:rPr>
                <w:rFonts w:ascii="Calibri" w:hAnsi="Calibri"/>
                <w:b w:val="0"/>
                <w:i w:val="0"/>
                <w:sz w:val="16"/>
              </w:rPr>
              <w:t>Separations against average on-roll strength</w:t>
            </w:r>
          </w:p>
        </w:tc>
        <w:tc>
          <w:tcPr>
            <w:tcW w:type="dxa" w:w="2250"/>
            <w:tcW w:w="2250" w:type="dxa"/>
          </w:tcPr>
          <w:p>
            <w:pPr>
              <w:spacing w:after="20" w:before="20"/>
            </w:pPr>
            <w:r/>
            <w:r>
              <w:rPr>
                <w:rFonts w:ascii="Calibri" w:hAnsi="Calibri"/>
                <w:b w:val="0"/>
                <w:i w:val="0"/>
                <w:sz w:val="16"/>
              </w:rPr>
              <w:t>As per norm</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separation data not supplied</w:t>
            </w:r>
          </w:p>
        </w:tc>
      </w:tr>
      <w:tr>
        <w:tc>
          <w:tcPr>
            <w:tcW w:type="dxa" w:w="520"/>
            <w:tcW w:w="520" w:type="dxa"/>
            <w:shd w:val="clear" w:color="auto" w:fill="F2F5FA"/>
          </w:tcPr>
          <w:p>
            <w:pPr>
              <w:spacing w:after="20" w:before="20"/>
              <w:jc w:val="center"/>
            </w:pPr>
            <w:r/>
            <w:r>
              <w:rPr>
                <w:rFonts w:ascii="Calibri" w:hAnsi="Calibri"/>
                <w:b/>
                <w:i w:val="0"/>
                <w:sz w:val="16"/>
              </w:rPr>
              <w:t>4.4</w:t>
            </w:r>
          </w:p>
        </w:tc>
        <w:tc>
          <w:tcPr>
            <w:tcW w:type="dxa" w:w="1950"/>
            <w:tcW w:w="1950" w:type="dxa"/>
            <w:shd w:val="clear" w:color="auto" w:fill="F2F5FA"/>
          </w:tcPr>
          <w:p>
            <w:pPr>
              <w:spacing w:after="20" w:before="20"/>
            </w:pPr>
            <w:r/>
            <w:r>
              <w:rPr>
                <w:rFonts w:ascii="Calibri" w:hAnsi="Calibri"/>
                <w:b w:val="0"/>
                <w:i w:val="0"/>
                <w:sz w:val="16"/>
              </w:rPr>
              <w:t>Certification and training</w:t>
            </w:r>
          </w:p>
        </w:tc>
        <w:tc>
          <w:tcPr>
            <w:tcW w:type="dxa" w:w="2850"/>
            <w:tcW w:w="2850" w:type="dxa"/>
            <w:shd w:val="clear" w:color="auto" w:fill="F2F5FA"/>
          </w:tcPr>
          <w:p>
            <w:pPr>
              <w:spacing w:after="20" w:before="20"/>
            </w:pPr>
            <w:r/>
            <w:r>
              <w:rPr>
                <w:rFonts w:ascii="Calibri" w:hAnsi="Calibri"/>
                <w:b w:val="0"/>
                <w:i w:val="0"/>
                <w:sz w:val="16"/>
              </w:rPr>
              <w:t>Product and process certification status</w:t>
            </w:r>
          </w:p>
        </w:tc>
        <w:tc>
          <w:tcPr>
            <w:tcW w:type="dxa" w:w="2250"/>
            <w:tcW w:w="2250" w:type="dxa"/>
            <w:shd w:val="clear" w:color="auto" w:fill="F2F5FA"/>
          </w:tcPr>
          <w:p>
            <w:pPr>
              <w:spacing w:after="20" w:before="20"/>
            </w:pPr>
            <w:r/>
            <w:r>
              <w:rPr>
                <w:rFonts w:ascii="Calibri" w:hAnsi="Calibri"/>
                <w:b w:val="0"/>
                <w:i w:val="0"/>
                <w:sz w:val="16"/>
              </w:rPr>
              <w:t>As per norm</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1.1</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certification records not supplied</w:t>
            </w:r>
          </w:p>
        </w:tc>
      </w:tr>
      <w:tr>
        <w:tc>
          <w:tcPr>
            <w:tcW w:type="dxa" w:w="520"/>
            <w:tcW w:w="520" w:type="dxa"/>
          </w:tcPr>
          <w:p>
            <w:pPr>
              <w:spacing w:after="20" w:before="20"/>
              <w:jc w:val="center"/>
            </w:pPr>
            <w:r/>
            <w:r>
              <w:rPr>
                <w:rFonts w:ascii="Calibri" w:hAnsi="Calibri"/>
                <w:b/>
                <w:i w:val="0"/>
                <w:sz w:val="16"/>
              </w:rPr>
              <w:t>4.5</w:t>
            </w:r>
          </w:p>
        </w:tc>
        <w:tc>
          <w:tcPr>
            <w:tcW w:type="dxa" w:w="1950"/>
            <w:tcW w:w="1950" w:type="dxa"/>
          </w:tcPr>
          <w:p>
            <w:pPr>
              <w:spacing w:after="20" w:before="20"/>
            </w:pPr>
            <w:r/>
            <w:r>
              <w:rPr>
                <w:rFonts w:ascii="Calibri" w:hAnsi="Calibri"/>
                <w:b w:val="0"/>
                <w:i w:val="0"/>
                <w:sz w:val="16"/>
              </w:rPr>
              <w:t>Review discipline</w:t>
            </w:r>
          </w:p>
        </w:tc>
        <w:tc>
          <w:tcPr>
            <w:tcW w:type="dxa" w:w="2850"/>
            <w:tcW w:w="2850" w:type="dxa"/>
          </w:tcPr>
          <w:p>
            <w:pPr>
              <w:spacing w:after="20" w:before="20"/>
            </w:pPr>
            <w:r/>
            <w:r>
              <w:rPr>
                <w:rFonts w:ascii="Calibri" w:hAnsi="Calibri"/>
                <w:b w:val="0"/>
                <w:i w:val="0"/>
                <w:sz w:val="16"/>
              </w:rPr>
              <w:t>Morning meeting and daily sales report records</w:t>
            </w:r>
          </w:p>
        </w:tc>
        <w:tc>
          <w:tcPr>
            <w:tcW w:type="dxa" w:w="2250"/>
            <w:tcW w:w="2250" w:type="dxa"/>
          </w:tcPr>
          <w:p>
            <w:pPr>
              <w:spacing w:after="20" w:before="20"/>
            </w:pPr>
            <w:r/>
            <w:r>
              <w:rPr>
                <w:rFonts w:ascii="Calibri" w:hAnsi="Calibri"/>
                <w:b w:val="0"/>
                <w:i w:val="0"/>
                <w:sz w:val="16"/>
              </w:rPr>
              <w:t>As per norm</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1.0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meeting records not supplied</w:t>
            </w:r>
          </w:p>
        </w:tc>
      </w:tr>
      <w:tr>
        <w:tc>
          <w:tcPr>
            <w:tcW w:type="dxa" w:w="15638"/>
            <w:gridSpan w:val="9"/>
            <w:shd w:val="clear" w:color="auto" w:fill="DCE6F1"/>
          </w:tcPr>
          <w:p>
            <w:pPr>
              <w:spacing w:after="20" w:before="20"/>
            </w:pPr>
            <w:r/>
            <w:r>
              <w:rPr>
                <w:rFonts w:ascii="Calibri" w:hAnsi="Calibri"/>
                <w:b/>
                <w:i w:val="0"/>
                <w:color w:val="1F3864"/>
                <w:sz w:val="18"/>
              </w:rPr>
              <w:t>E. Stock and inventory health  —  weightage 11  (scored 2.0, achievement 100.0%)</w:t>
            </w:r>
          </w:p>
        </w:tc>
      </w:tr>
      <w:tr>
        <w:tc>
          <w:tcPr>
            <w:tcW w:type="dxa" w:w="520"/>
            <w:tcW w:w="520" w:type="dxa"/>
          </w:tcPr>
          <w:p>
            <w:pPr>
              <w:spacing w:after="20" w:before="20"/>
              <w:jc w:val="center"/>
            </w:pPr>
            <w:r/>
            <w:r>
              <w:rPr>
                <w:rFonts w:ascii="Calibri" w:hAnsi="Calibri"/>
                <w:b/>
                <w:i w:val="0"/>
                <w:sz w:val="16"/>
              </w:rPr>
              <w:t>5.1</w:t>
            </w:r>
          </w:p>
        </w:tc>
        <w:tc>
          <w:tcPr>
            <w:tcW w:type="dxa" w:w="1950"/>
            <w:tcW w:w="1950" w:type="dxa"/>
          </w:tcPr>
          <w:p>
            <w:pPr>
              <w:spacing w:after="20" w:before="20"/>
            </w:pPr>
            <w:r/>
            <w:r>
              <w:rPr>
                <w:rFonts w:ascii="Calibri" w:hAnsi="Calibri"/>
                <w:b w:val="0"/>
                <w:i w:val="0"/>
                <w:sz w:val="16"/>
              </w:rPr>
              <w:t>Stock days of supply</w:t>
            </w:r>
          </w:p>
        </w:tc>
        <w:tc>
          <w:tcPr>
            <w:tcW w:type="dxa" w:w="2850"/>
            <w:tcW w:w="2850" w:type="dxa"/>
          </w:tcPr>
          <w:p>
            <w:pPr>
              <w:spacing w:after="20" w:before="20"/>
            </w:pPr>
            <w:r/>
            <w:r>
              <w:rPr>
                <w:rFonts w:ascii="Calibri" w:hAnsi="Calibri"/>
                <w:b w:val="0"/>
                <w:i w:val="0"/>
                <w:sz w:val="16"/>
              </w:rPr>
              <w:t>Closing stock ÷ average daily retail</w:t>
            </w:r>
          </w:p>
        </w:tc>
        <w:tc>
          <w:tcPr>
            <w:tcW w:type="dxa" w:w="2250"/>
            <w:tcW w:w="2250" w:type="dxa"/>
          </w:tcPr>
          <w:p>
            <w:pPr>
              <w:spacing w:after="20" w:before="20"/>
            </w:pPr>
            <w:r/>
            <w:r>
              <w:rPr>
                <w:rFonts w:ascii="Calibri" w:hAnsi="Calibri"/>
                <w:b w:val="0"/>
                <w:i w:val="0"/>
                <w:sz w:val="16"/>
              </w:rPr>
              <w:t>As per norm</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3.0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stock statement not supplied</w:t>
            </w:r>
          </w:p>
        </w:tc>
      </w:tr>
      <w:tr>
        <w:tc>
          <w:tcPr>
            <w:tcW w:type="dxa" w:w="520"/>
            <w:tcW w:w="520" w:type="dxa"/>
            <w:shd w:val="clear" w:color="auto" w:fill="F2F5FA"/>
          </w:tcPr>
          <w:p>
            <w:pPr>
              <w:spacing w:after="20" w:before="20"/>
              <w:jc w:val="center"/>
            </w:pPr>
            <w:r/>
            <w:r>
              <w:rPr>
                <w:rFonts w:ascii="Calibri" w:hAnsi="Calibri"/>
                <w:b/>
                <w:i w:val="0"/>
                <w:sz w:val="16"/>
              </w:rPr>
              <w:t>5.2</w:t>
            </w:r>
          </w:p>
        </w:tc>
        <w:tc>
          <w:tcPr>
            <w:tcW w:type="dxa" w:w="1950"/>
            <w:tcW w:w="1950" w:type="dxa"/>
            <w:shd w:val="clear" w:color="auto" w:fill="F2F5FA"/>
          </w:tcPr>
          <w:p>
            <w:pPr>
              <w:spacing w:after="20" w:before="20"/>
            </w:pPr>
            <w:r/>
            <w:r>
              <w:rPr>
                <w:rFonts w:ascii="Calibri" w:hAnsi="Calibri"/>
                <w:b w:val="0"/>
                <w:i w:val="0"/>
                <w:sz w:val="16"/>
              </w:rPr>
              <w:t>Ageing stock</w:t>
            </w:r>
          </w:p>
        </w:tc>
        <w:tc>
          <w:tcPr>
            <w:tcW w:type="dxa" w:w="2850"/>
            <w:tcW w:w="2850" w:type="dxa"/>
            <w:shd w:val="clear" w:color="auto" w:fill="F2F5FA"/>
          </w:tcPr>
          <w:p>
            <w:pPr>
              <w:spacing w:after="20" w:before="20"/>
            </w:pPr>
            <w:r/>
            <w:r>
              <w:rPr>
                <w:rFonts w:ascii="Calibri" w:hAnsi="Calibri"/>
                <w:b w:val="0"/>
                <w:i w:val="0"/>
                <w:sz w:val="16"/>
              </w:rPr>
              <w:t>Units beyond 60 and 90 days with liquidation plan</w:t>
            </w:r>
          </w:p>
        </w:tc>
        <w:tc>
          <w:tcPr>
            <w:tcW w:type="dxa" w:w="2250"/>
            <w:tcW w:w="2250" w:type="dxa"/>
            <w:shd w:val="clear" w:color="auto" w:fill="F2F5FA"/>
          </w:tcPr>
          <w:p>
            <w:pPr>
              <w:spacing w:after="20" w:before="20"/>
            </w:pPr>
            <w:r/>
            <w:r>
              <w:rPr>
                <w:rFonts w:ascii="Calibri" w:hAnsi="Calibri"/>
                <w:b w:val="0"/>
                <w:i w:val="0"/>
                <w:sz w:val="16"/>
              </w:rPr>
              <w:t>As per norm</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3.0</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stock ageing not supplied</w:t>
            </w:r>
          </w:p>
        </w:tc>
      </w:tr>
      <w:tr>
        <w:tc>
          <w:tcPr>
            <w:tcW w:type="dxa" w:w="520"/>
            <w:tcW w:w="520" w:type="dxa"/>
          </w:tcPr>
          <w:p>
            <w:pPr>
              <w:spacing w:after="20" w:before="20"/>
              <w:jc w:val="center"/>
            </w:pPr>
            <w:r/>
            <w:r>
              <w:rPr>
                <w:rFonts w:ascii="Calibri" w:hAnsi="Calibri"/>
                <w:b/>
                <w:i w:val="0"/>
                <w:sz w:val="16"/>
              </w:rPr>
              <w:t>5.3</w:t>
            </w:r>
          </w:p>
        </w:tc>
        <w:tc>
          <w:tcPr>
            <w:tcW w:type="dxa" w:w="1950"/>
            <w:tcW w:w="1950" w:type="dxa"/>
          </w:tcPr>
          <w:p>
            <w:pPr>
              <w:spacing w:after="20" w:before="20"/>
            </w:pPr>
            <w:r/>
            <w:r>
              <w:rPr>
                <w:rFonts w:ascii="Calibri" w:hAnsi="Calibri"/>
                <w:b w:val="0"/>
                <w:i w:val="0"/>
                <w:sz w:val="16"/>
              </w:rPr>
              <w:t>VIN allotment to invoice TAT</w:t>
            </w:r>
          </w:p>
        </w:tc>
        <w:tc>
          <w:tcPr>
            <w:tcW w:type="dxa" w:w="2850"/>
            <w:tcW w:w="2850" w:type="dxa"/>
          </w:tcPr>
          <w:p>
            <w:pPr>
              <w:spacing w:after="20" w:before="20"/>
            </w:pPr>
            <w:r/>
            <w:r>
              <w:rPr>
                <w:rFonts w:ascii="Calibri" w:hAnsi="Calibri"/>
                <w:b w:val="0"/>
                <w:i w:val="0"/>
                <w:sz w:val="16"/>
              </w:rPr>
              <w:t>Allotment date against invoice date per unit</w:t>
            </w:r>
          </w:p>
        </w:tc>
        <w:tc>
          <w:tcPr>
            <w:tcW w:type="dxa" w:w="2250"/>
            <w:tcW w:w="2250" w:type="dxa"/>
          </w:tcPr>
          <w:p>
            <w:pPr>
              <w:spacing w:after="20" w:before="20"/>
            </w:pPr>
            <w:r/>
            <w:r>
              <w:rPr>
                <w:rFonts w:ascii="Calibri" w:hAnsi="Calibri"/>
                <w:b w:val="0"/>
                <w:i w:val="0"/>
                <w:sz w:val="16"/>
              </w:rPr>
              <w:t>≤7 days</w:t>
            </w:r>
          </w:p>
        </w:tc>
        <w:tc>
          <w:tcPr>
            <w:tcW w:type="dxa" w:w="3150"/>
            <w:tcW w:w="3150" w:type="dxa"/>
          </w:tcPr>
          <w:p>
            <w:pPr>
              <w:spacing w:after="20" w:before="20"/>
            </w:pPr>
            <w:r/>
            <w:r>
              <w:rPr>
                <w:rFonts w:ascii="Calibri" w:hAnsi="Calibri"/>
                <w:b w:val="0"/>
                <w:i w:val="0"/>
                <w:sz w:val="16"/>
              </w:rPr>
              <w:t>median 0 days; 0 units (0.0%) beyond 7 days, longest 1</w:t>
            </w:r>
          </w:p>
          <w:p>
            <w:pPr>
              <w:spacing w:after="20"/>
            </w:pPr>
            <w:r>
              <w:rPr>
                <w:rFonts w:ascii="Calibri" w:hAnsi="Calibri"/>
                <w:i/>
                <w:color w:val="2E5C8A"/>
                <w:sz w:val="14"/>
              </w:rPr>
              <w:t>Source: Retails.xlsx › Export › Allotment Date and Time, Invoice Date and Time</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100%</w:t>
            </w:r>
          </w:p>
        </w:tc>
        <w:tc>
          <w:tcPr>
            <w:tcW w:type="dxa" w:w="560"/>
            <w:tcW w:w="560" w:type="dxa"/>
          </w:tcPr>
          <w:p>
            <w:pPr>
              <w:spacing w:after="20" w:before="20"/>
              <w:jc w:val="center"/>
            </w:pPr>
            <w:r/>
            <w:r>
              <w:rPr>
                <w:rFonts w:ascii="Calibri" w:hAnsi="Calibri"/>
                <w:b/>
                <w:i w:val="0"/>
                <w:sz w:val="16"/>
              </w:rPr>
              <w:t>2.0</w:t>
            </w:r>
          </w:p>
        </w:tc>
        <w:tc>
          <w:tcPr>
            <w:tcW w:type="dxa" w:w="3318"/>
            <w:tcW w:w="3318" w:type="dxa"/>
            <w:shd w:val="clear" w:color="auto" w:fill="C6EFCE"/>
          </w:tcPr>
          <w:p>
            <w:pPr>
              <w:spacing w:after="20" w:before="20"/>
            </w:pPr>
            <w:r/>
            <w:r>
              <w:rPr>
                <w:rFonts w:ascii="Calibri" w:hAnsi="Calibri"/>
                <w:b w:val="0"/>
                <w:i w:val="0"/>
                <w:sz w:val="16"/>
              </w:rPr>
              <w:t>Green — control working</w:t>
            </w:r>
          </w:p>
        </w:tc>
      </w:tr>
      <w:tr>
        <w:tc>
          <w:tcPr>
            <w:tcW w:type="dxa" w:w="520"/>
            <w:tcW w:w="520" w:type="dxa"/>
            <w:shd w:val="clear" w:color="auto" w:fill="F2F5FA"/>
          </w:tcPr>
          <w:p>
            <w:pPr>
              <w:spacing w:after="20" w:before="20"/>
              <w:jc w:val="center"/>
            </w:pPr>
            <w:r/>
            <w:r>
              <w:rPr>
                <w:rFonts w:ascii="Calibri" w:hAnsi="Calibri"/>
                <w:b/>
                <w:i w:val="0"/>
                <w:sz w:val="16"/>
              </w:rPr>
              <w:t>5.4</w:t>
            </w:r>
          </w:p>
        </w:tc>
        <w:tc>
          <w:tcPr>
            <w:tcW w:type="dxa" w:w="1950"/>
            <w:tcW w:w="1950" w:type="dxa"/>
            <w:shd w:val="clear" w:color="auto" w:fill="F2F5FA"/>
          </w:tcPr>
          <w:p>
            <w:pPr>
              <w:spacing w:after="20" w:before="20"/>
            </w:pPr>
            <w:r/>
            <w:r>
              <w:rPr>
                <w:rFonts w:ascii="Calibri" w:hAnsi="Calibri"/>
                <w:b w:val="0"/>
                <w:i w:val="0"/>
                <w:sz w:val="16"/>
              </w:rPr>
              <w:t>Stock mix against demand mix</w:t>
            </w:r>
          </w:p>
        </w:tc>
        <w:tc>
          <w:tcPr>
            <w:tcW w:type="dxa" w:w="2850"/>
            <w:tcW w:w="2850" w:type="dxa"/>
            <w:shd w:val="clear" w:color="auto" w:fill="F2F5FA"/>
          </w:tcPr>
          <w:p>
            <w:pPr>
              <w:spacing w:after="20" w:before="20"/>
            </w:pPr>
            <w:r/>
            <w:r>
              <w:rPr>
                <w:rFonts w:ascii="Calibri" w:hAnsi="Calibri"/>
                <w:b w:val="0"/>
                <w:i w:val="0"/>
                <w:sz w:val="16"/>
              </w:rPr>
              <w:t>Availability of top-selling variants</w:t>
            </w:r>
          </w:p>
        </w:tc>
        <w:tc>
          <w:tcPr>
            <w:tcW w:type="dxa" w:w="2250"/>
            <w:tcW w:w="2250" w:type="dxa"/>
            <w:shd w:val="clear" w:color="auto" w:fill="F2F5FA"/>
          </w:tcPr>
          <w:p>
            <w:pPr>
              <w:spacing w:after="20" w:before="20"/>
            </w:pPr>
            <w:r/>
            <w:r>
              <w:rPr>
                <w:rFonts w:ascii="Calibri" w:hAnsi="Calibri"/>
                <w:b w:val="0"/>
                <w:i w:val="0"/>
                <w:sz w:val="16"/>
              </w:rPr>
              <w:t>As per norm</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1.5</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stock versus booking mix not supplied</w:t>
            </w:r>
          </w:p>
        </w:tc>
      </w:tr>
      <w:tr>
        <w:tc>
          <w:tcPr>
            <w:tcW w:type="dxa" w:w="520"/>
            <w:tcW w:w="520" w:type="dxa"/>
          </w:tcPr>
          <w:p>
            <w:pPr>
              <w:spacing w:after="20" w:before="20"/>
              <w:jc w:val="center"/>
            </w:pPr>
            <w:r/>
            <w:r>
              <w:rPr>
                <w:rFonts w:ascii="Calibri" w:hAnsi="Calibri"/>
                <w:b/>
                <w:i w:val="0"/>
                <w:sz w:val="16"/>
              </w:rPr>
              <w:t>5.5</w:t>
            </w:r>
          </w:p>
        </w:tc>
        <w:tc>
          <w:tcPr>
            <w:tcW w:type="dxa" w:w="1950"/>
            <w:tcW w:w="1950" w:type="dxa"/>
          </w:tcPr>
          <w:p>
            <w:pPr>
              <w:spacing w:after="20" w:before="20"/>
            </w:pPr>
            <w:r/>
            <w:r>
              <w:rPr>
                <w:rFonts w:ascii="Calibri" w:hAnsi="Calibri"/>
                <w:b w:val="0"/>
                <w:i w:val="0"/>
                <w:sz w:val="16"/>
              </w:rPr>
              <w:t>Yard and PDI condition</w:t>
            </w:r>
          </w:p>
        </w:tc>
        <w:tc>
          <w:tcPr>
            <w:tcW w:type="dxa" w:w="2850"/>
            <w:tcW w:w="2850" w:type="dxa"/>
          </w:tcPr>
          <w:p>
            <w:pPr>
              <w:spacing w:after="20" w:before="20"/>
            </w:pPr>
            <w:r/>
            <w:r>
              <w:rPr>
                <w:rFonts w:ascii="Calibri" w:hAnsi="Calibri"/>
                <w:b w:val="0"/>
                <w:i w:val="0"/>
                <w:sz w:val="16"/>
              </w:rPr>
              <w:t>PDI completion and damage register</w:t>
            </w:r>
          </w:p>
        </w:tc>
        <w:tc>
          <w:tcPr>
            <w:tcW w:type="dxa" w:w="2250"/>
            <w:tcW w:w="2250" w:type="dxa"/>
          </w:tcPr>
          <w:p>
            <w:pPr>
              <w:spacing w:after="20" w:before="20"/>
            </w:pPr>
            <w:r/>
            <w:r>
              <w:rPr>
                <w:rFonts w:ascii="Calibri" w:hAnsi="Calibri"/>
                <w:b w:val="0"/>
                <w:i w:val="0"/>
                <w:sz w:val="16"/>
              </w:rPr>
              <w:t>As per norm</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1.5</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PDI register not supplied</w:t>
            </w:r>
          </w:p>
        </w:tc>
      </w:tr>
      <w:tr>
        <w:tc>
          <w:tcPr>
            <w:tcW w:type="dxa" w:w="15638"/>
            <w:gridSpan w:val="9"/>
            <w:shd w:val="clear" w:color="auto" w:fill="DCE6F1"/>
          </w:tcPr>
          <w:p>
            <w:pPr>
              <w:spacing w:after="20" w:before="20"/>
            </w:pPr>
            <w:r/>
            <w:r>
              <w:rPr>
                <w:rFonts w:ascii="Calibri" w:hAnsi="Calibri"/>
                <w:b/>
                <w:i w:val="0"/>
                <w:color w:val="1F3864"/>
                <w:sz w:val="18"/>
              </w:rPr>
              <w:t>F. Financial and profitability health  —  weightage 14  (scored 10.9, achievement 20.7%)</w:t>
            </w:r>
          </w:p>
        </w:tc>
      </w:tr>
      <w:tr>
        <w:tc>
          <w:tcPr>
            <w:tcW w:type="dxa" w:w="520"/>
            <w:tcW w:w="520" w:type="dxa"/>
          </w:tcPr>
          <w:p>
            <w:pPr>
              <w:spacing w:after="20" w:before="20"/>
              <w:jc w:val="center"/>
            </w:pPr>
            <w:r/>
            <w:r>
              <w:rPr>
                <w:rFonts w:ascii="Calibri" w:hAnsi="Calibri"/>
                <w:b/>
                <w:i w:val="0"/>
                <w:sz w:val="16"/>
              </w:rPr>
              <w:t>6.1</w:t>
            </w:r>
          </w:p>
        </w:tc>
        <w:tc>
          <w:tcPr>
            <w:tcW w:type="dxa" w:w="1950"/>
            <w:tcW w:w="1950" w:type="dxa"/>
          </w:tcPr>
          <w:p>
            <w:pPr>
              <w:spacing w:after="20" w:before="20"/>
            </w:pPr>
            <w:r/>
            <w:r>
              <w:rPr>
                <w:rFonts w:ascii="Calibri" w:hAnsi="Calibri"/>
                <w:b w:val="0"/>
                <w:i w:val="0"/>
                <w:sz w:val="16"/>
              </w:rPr>
              <w:t>Gross margin per unit</w:t>
            </w:r>
          </w:p>
        </w:tc>
        <w:tc>
          <w:tcPr>
            <w:tcW w:type="dxa" w:w="2850"/>
            <w:tcW w:w="2850" w:type="dxa"/>
          </w:tcPr>
          <w:p>
            <w:pPr>
              <w:spacing w:after="20" w:before="20"/>
            </w:pPr>
            <w:r/>
            <w:r>
              <w:rPr>
                <w:rFonts w:ascii="Calibri" w:hAnsi="Calibri"/>
                <w:b w:val="0"/>
                <w:i w:val="0"/>
                <w:sz w:val="16"/>
              </w:rPr>
              <w:t>Net margin per unit after discount, before VAP</w:t>
            </w:r>
          </w:p>
        </w:tc>
        <w:tc>
          <w:tcPr>
            <w:tcW w:type="dxa" w:w="2250"/>
            <w:tcW w:w="2250" w:type="dxa"/>
          </w:tcPr>
          <w:p>
            <w:pPr>
              <w:spacing w:after="20" w:before="20"/>
            </w:pPr>
            <w:r/>
            <w:r>
              <w:rPr>
                <w:rFonts w:ascii="Calibri" w:hAnsi="Calibri"/>
                <w:b w:val="0"/>
                <w:i w:val="0"/>
                <w:sz w:val="16"/>
              </w:rPr>
              <w:t>≥ business-plan norm</w:t>
            </w:r>
          </w:p>
        </w:tc>
        <w:tc>
          <w:tcPr>
            <w:tcW w:type="dxa" w:w="3150"/>
            <w:tcW w:w="3150" w:type="dxa"/>
          </w:tcPr>
          <w:p>
            <w:pPr>
              <w:spacing w:after="20" w:before="20"/>
            </w:pPr>
            <w:r/>
            <w:r>
              <w:rPr>
                <w:rFonts w:ascii="Calibri" w:hAnsi="Calibri"/>
                <w:b w:val="0"/>
                <w:i w:val="0"/>
                <w:sz w:val="16"/>
              </w:rPr>
              <w:t>Dealer discount recorded on 0 of 30 invoices</w:t>
            </w:r>
          </w:p>
          <w:p>
            <w:pPr>
              <w:spacing w:after="20"/>
            </w:pPr>
            <w:r>
              <w:rPr>
                <w:rFonts w:ascii="Calibri" w:hAnsi="Calibri"/>
                <w:i/>
                <w:color w:val="2E5C8A"/>
                <w:sz w:val="14"/>
              </w:rPr>
              <w:t>Source: Retails.xlsx › Export › Dealer Discount, Selling Price</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margin norm not supplied in norms.yaml</w:t>
            </w:r>
          </w:p>
        </w:tc>
      </w:tr>
      <w:tr>
        <w:tc>
          <w:tcPr>
            <w:tcW w:type="dxa" w:w="520"/>
            <w:tcW w:w="520" w:type="dxa"/>
            <w:shd w:val="clear" w:color="auto" w:fill="F2F5FA"/>
          </w:tcPr>
          <w:p>
            <w:pPr>
              <w:spacing w:after="20" w:before="20"/>
              <w:jc w:val="center"/>
            </w:pPr>
            <w:r/>
            <w:r>
              <w:rPr>
                <w:rFonts w:ascii="Calibri" w:hAnsi="Calibri"/>
                <w:b/>
                <w:i w:val="0"/>
                <w:sz w:val="16"/>
              </w:rPr>
              <w:t>6.2</w:t>
            </w:r>
          </w:p>
        </w:tc>
        <w:tc>
          <w:tcPr>
            <w:tcW w:type="dxa" w:w="1950"/>
            <w:tcW w:w="1950" w:type="dxa"/>
            <w:shd w:val="clear" w:color="auto" w:fill="F2F5FA"/>
          </w:tcPr>
          <w:p>
            <w:pPr>
              <w:spacing w:after="20" w:before="20"/>
            </w:pPr>
            <w:r/>
            <w:r>
              <w:rPr>
                <w:rFonts w:ascii="Calibri" w:hAnsi="Calibri"/>
                <w:b w:val="0"/>
                <w:i w:val="0"/>
                <w:sz w:val="16"/>
              </w:rPr>
              <w:t>SHIELD (extended warranty) sold</w:t>
            </w:r>
          </w:p>
        </w:tc>
        <w:tc>
          <w:tcPr>
            <w:tcW w:type="dxa" w:w="2850"/>
            <w:tcW w:w="2850" w:type="dxa"/>
            <w:shd w:val="clear" w:color="auto" w:fill="F2F5FA"/>
          </w:tcPr>
          <w:p>
            <w:pPr>
              <w:spacing w:after="20" w:before="20"/>
            </w:pPr>
            <w:r/>
            <w:r>
              <w:rPr>
                <w:rFonts w:ascii="Calibri" w:hAnsi="Calibri"/>
                <w:b w:val="0"/>
                <w:i w:val="0"/>
                <w:sz w:val="16"/>
              </w:rPr>
              <w:t>SHIELD (extended warranty) sold recorded against every invoiced VIN, verified on the policy portal rather than on amount collected</w:t>
            </w:r>
          </w:p>
        </w:tc>
        <w:tc>
          <w:tcPr>
            <w:tcW w:type="dxa" w:w="2250"/>
            <w:tcW w:w="2250" w:type="dxa"/>
            <w:shd w:val="clear" w:color="auto" w:fill="F2F5FA"/>
          </w:tcPr>
          <w:p>
            <w:pPr>
              <w:spacing w:after="20" w:before="20"/>
            </w:pPr>
            <w:r/>
            <w:r>
              <w:rPr>
                <w:rFonts w:ascii="Calibri" w:hAnsi="Calibri"/>
                <w:b w:val="0"/>
                <w:i w:val="0"/>
                <w:sz w:val="16"/>
              </w:rPr>
              <w:t>Penetration norm to be confirmed</w:t>
            </w:r>
          </w:p>
        </w:tc>
        <w:tc>
          <w:tcPr>
            <w:tcW w:type="dxa" w:w="3150"/>
            <w:tcW w:w="3150" w:type="dxa"/>
            <w:shd w:val="clear" w:color="auto" w:fill="F2F5FA"/>
          </w:tcPr>
          <w:p>
            <w:pPr>
              <w:spacing w:after="20" w:before="20"/>
            </w:pPr>
            <w:r/>
            <w:r>
              <w:rPr>
                <w:rFonts w:ascii="Calibri" w:hAnsi="Calibri"/>
                <w:b w:val="0"/>
                <w:i w:val="0"/>
                <w:sz w:val="16"/>
              </w:rPr>
              <w:t>Shield Scheme Reg ID: 0 of 30 invoices (0.0%). Value recorded: ₹0</w:t>
            </w:r>
          </w:p>
          <w:p>
            <w:pPr>
              <w:spacing w:after="20"/>
            </w:pPr>
            <w:r>
              <w:rPr>
                <w:rFonts w:ascii="Calibri" w:hAnsi="Calibri"/>
                <w:i/>
                <w:color w:val="2E5C8A"/>
                <w:sz w:val="14"/>
              </w:rPr>
              <w:t>Source: Retails.xlsx › Export › Shield Scheme Reg ID, Shield Scheme Amount</w:t>
            </w:r>
          </w:p>
        </w:tc>
        <w:tc>
          <w:tcPr>
            <w:tcW w:type="dxa" w:w="480"/>
            <w:tcW w:w="480" w:type="dxa"/>
            <w:shd w:val="clear" w:color="auto" w:fill="F2F5FA"/>
          </w:tcPr>
          <w:p>
            <w:pPr>
              <w:spacing w:after="20" w:before="20"/>
              <w:jc w:val="center"/>
            </w:pPr>
            <w:r/>
            <w:r>
              <w:rPr>
                <w:rFonts w:ascii="Calibri" w:hAnsi="Calibri"/>
                <w:b w:val="0"/>
                <w:i w:val="0"/>
                <w:sz w:val="16"/>
              </w:rPr>
              <w:t>3.4</w:t>
            </w:r>
          </w:p>
        </w:tc>
        <w:tc>
          <w:tcPr>
            <w:tcW w:type="dxa" w:w="560"/>
            <w:tcW w:w="560" w:type="dxa"/>
            <w:shd w:val="clear" w:color="auto" w:fill="F2F5FA"/>
          </w:tcPr>
          <w:p>
            <w:pPr>
              <w:spacing w:after="20" w:before="20"/>
              <w:jc w:val="center"/>
            </w:pPr>
            <w:r/>
            <w:r>
              <w:rPr>
                <w:rFonts w:ascii="Calibri" w:hAnsi="Calibri"/>
                <w:b w:val="0"/>
                <w:i w:val="0"/>
                <w:sz w:val="16"/>
              </w:rPr>
              <w:t>0%</w:t>
            </w:r>
          </w:p>
        </w:tc>
        <w:tc>
          <w:tcPr>
            <w:tcW w:type="dxa" w:w="560"/>
            <w:tcW w:w="560" w:type="dxa"/>
            <w:shd w:val="clear" w:color="auto" w:fill="F2F5FA"/>
          </w:tcPr>
          <w:p>
            <w:pPr>
              <w:spacing w:after="20" w:before="20"/>
              <w:jc w:val="center"/>
            </w:pPr>
            <w:r/>
            <w:r>
              <w:rPr>
                <w:rFonts w:ascii="Calibri" w:hAnsi="Calibri"/>
                <w:b/>
                <w:i w:val="0"/>
                <w:sz w:val="16"/>
              </w:rPr>
              <w:t>0.0</w:t>
            </w:r>
          </w:p>
        </w:tc>
        <w:tc>
          <w:tcPr>
            <w:tcW w:type="dxa" w:w="3318"/>
            <w:tcW w:w="3318" w:type="dxa"/>
            <w:shd w:val="clear" w:color="auto" w:fill="F2F5FA"/>
            <w:shd w:val="clear" w:color="auto" w:fill="FFC7CE"/>
          </w:tcPr>
          <w:p>
            <w:pPr>
              <w:spacing w:after="20" w:before="20"/>
            </w:pPr>
            <w:r/>
            <w:r>
              <w:rPr>
                <w:rFonts w:ascii="Calibri" w:hAnsi="Calibri"/>
                <w:b w:val="0"/>
                <w:i w:val="0"/>
                <w:sz w:val="16"/>
              </w:rPr>
              <w:t>Red — nil recorded on every invoice — establish whether the product is unsold or sold outside the DMS</w:t>
            </w:r>
          </w:p>
        </w:tc>
      </w:tr>
      <w:tr>
        <w:tc>
          <w:tcPr>
            <w:tcW w:type="dxa" w:w="520"/>
            <w:tcW w:w="520" w:type="dxa"/>
          </w:tcPr>
          <w:p>
            <w:pPr>
              <w:spacing w:after="20" w:before="20"/>
              <w:jc w:val="center"/>
            </w:pPr>
            <w:r/>
            <w:r>
              <w:rPr>
                <w:rFonts w:ascii="Calibri" w:hAnsi="Calibri"/>
                <w:b/>
                <w:i w:val="0"/>
                <w:sz w:val="16"/>
              </w:rPr>
              <w:t>6.3</w:t>
            </w:r>
          </w:p>
        </w:tc>
        <w:tc>
          <w:tcPr>
            <w:tcW w:type="dxa" w:w="1950"/>
            <w:tcW w:w="1950" w:type="dxa"/>
          </w:tcPr>
          <w:p>
            <w:pPr>
              <w:spacing w:after="20" w:before="20"/>
            </w:pPr>
            <w:r/>
            <w:r>
              <w:rPr>
                <w:rFonts w:ascii="Calibri" w:hAnsi="Calibri"/>
                <w:b w:val="0"/>
                <w:i w:val="0"/>
                <w:sz w:val="16"/>
              </w:rPr>
              <w:t>RSA policies sold</w:t>
            </w:r>
          </w:p>
        </w:tc>
        <w:tc>
          <w:tcPr>
            <w:tcW w:type="dxa" w:w="2850"/>
            <w:tcW w:w="2850" w:type="dxa"/>
          </w:tcPr>
          <w:p>
            <w:pPr>
              <w:spacing w:after="20" w:before="20"/>
            </w:pPr>
            <w:r/>
            <w:r>
              <w:rPr>
                <w:rFonts w:ascii="Calibri" w:hAnsi="Calibri"/>
                <w:b w:val="0"/>
                <w:i w:val="0"/>
                <w:sz w:val="16"/>
              </w:rPr>
              <w:t>RSA policies sold recorded against every invoiced VIN, verified on the policy portal rather than on amount collected</w:t>
            </w:r>
          </w:p>
        </w:tc>
        <w:tc>
          <w:tcPr>
            <w:tcW w:type="dxa" w:w="2250"/>
            <w:tcW w:w="2250" w:type="dxa"/>
          </w:tcPr>
          <w:p>
            <w:pPr>
              <w:spacing w:after="20" w:before="20"/>
            </w:pPr>
            <w:r/>
            <w:r>
              <w:rPr>
                <w:rFonts w:ascii="Calibri" w:hAnsi="Calibri"/>
                <w:b w:val="0"/>
                <w:i w:val="0"/>
                <w:sz w:val="16"/>
              </w:rPr>
              <w:t>Penetration norm to be confirmed</w:t>
            </w:r>
          </w:p>
        </w:tc>
        <w:tc>
          <w:tcPr>
            <w:tcW w:type="dxa" w:w="3150"/>
            <w:tcW w:w="3150" w:type="dxa"/>
          </w:tcPr>
          <w:p>
            <w:pPr>
              <w:spacing w:after="20" w:before="20"/>
            </w:pPr>
            <w:r/>
            <w:r>
              <w:rPr>
                <w:rFonts w:ascii="Calibri" w:hAnsi="Calibri"/>
                <w:b w:val="0"/>
                <w:i w:val="0"/>
                <w:sz w:val="16"/>
              </w:rPr>
              <w:t>RSA Scheme Reg ID: 0 of 30 invoices (0.0%). Value recorded: ₹0</w:t>
            </w:r>
          </w:p>
          <w:p>
            <w:pPr>
              <w:spacing w:after="20"/>
            </w:pPr>
            <w:r>
              <w:rPr>
                <w:rFonts w:ascii="Calibri" w:hAnsi="Calibri"/>
                <w:i/>
                <w:color w:val="2E5C8A"/>
                <w:sz w:val="14"/>
              </w:rPr>
              <w:t>Source: Retails.xlsx › Export › RSA Scheme Reg ID, RSA Scheme Amount</w:t>
            </w:r>
          </w:p>
        </w:tc>
        <w:tc>
          <w:tcPr>
            <w:tcW w:type="dxa" w:w="480"/>
            <w:tcW w:w="480" w:type="dxa"/>
          </w:tcPr>
          <w:p>
            <w:pPr>
              <w:spacing w:after="20" w:before="20"/>
              <w:jc w:val="center"/>
            </w:pPr>
            <w:r/>
            <w:r>
              <w:rPr>
                <w:rFonts w:ascii="Calibri" w:hAnsi="Calibri"/>
                <w:b w:val="0"/>
                <w:i w:val="0"/>
                <w:sz w:val="16"/>
              </w:rPr>
              <w:t>2.8</w:t>
            </w:r>
          </w:p>
        </w:tc>
        <w:tc>
          <w:tcPr>
            <w:tcW w:type="dxa" w:w="560"/>
            <w:tcW w:w="560" w:type="dxa"/>
          </w:tcPr>
          <w:p>
            <w:pPr>
              <w:spacing w:after="20" w:before="20"/>
              <w:jc w:val="center"/>
            </w:pPr>
            <w:r/>
            <w:r>
              <w:rPr>
                <w:rFonts w:ascii="Calibri" w:hAnsi="Calibri"/>
                <w:b w:val="0"/>
                <w:i w:val="0"/>
                <w:sz w:val="16"/>
              </w:rPr>
              <w:t>0%</w:t>
            </w:r>
          </w:p>
        </w:tc>
        <w:tc>
          <w:tcPr>
            <w:tcW w:type="dxa" w:w="560"/>
            <w:tcW w:w="560" w:type="dxa"/>
          </w:tcPr>
          <w:p>
            <w:pPr>
              <w:spacing w:after="20" w:before="20"/>
              <w:jc w:val="center"/>
            </w:pPr>
            <w:r/>
            <w:r>
              <w:rPr>
                <w:rFonts w:ascii="Calibri" w:hAnsi="Calibri"/>
                <w:b/>
                <w:i w:val="0"/>
                <w:sz w:val="16"/>
              </w:rPr>
              <w:t>0.0</w:t>
            </w:r>
          </w:p>
        </w:tc>
        <w:tc>
          <w:tcPr>
            <w:tcW w:type="dxa" w:w="3318"/>
            <w:tcW w:w="3318" w:type="dxa"/>
            <w:shd w:val="clear" w:color="auto" w:fill="FFC7CE"/>
          </w:tcPr>
          <w:p>
            <w:pPr>
              <w:spacing w:after="20" w:before="20"/>
            </w:pPr>
            <w:r/>
            <w:r>
              <w:rPr>
                <w:rFonts w:ascii="Calibri" w:hAnsi="Calibri"/>
                <w:b w:val="0"/>
                <w:i w:val="0"/>
                <w:sz w:val="16"/>
              </w:rPr>
              <w:t>Red — nil recorded on every invoice — establish whether the product is unsold or sold outside the DMS</w:t>
            </w:r>
          </w:p>
        </w:tc>
      </w:tr>
      <w:tr>
        <w:tc>
          <w:tcPr>
            <w:tcW w:type="dxa" w:w="520"/>
            <w:tcW w:w="520" w:type="dxa"/>
            <w:shd w:val="clear" w:color="auto" w:fill="F2F5FA"/>
          </w:tcPr>
          <w:p>
            <w:pPr>
              <w:spacing w:after="20" w:before="20"/>
              <w:jc w:val="center"/>
            </w:pPr>
            <w:r/>
            <w:r>
              <w:rPr>
                <w:rFonts w:ascii="Calibri" w:hAnsi="Calibri"/>
                <w:b/>
                <w:i w:val="0"/>
                <w:sz w:val="16"/>
              </w:rPr>
              <w:t>6.4</w:t>
            </w:r>
          </w:p>
        </w:tc>
        <w:tc>
          <w:tcPr>
            <w:tcW w:type="dxa" w:w="1950"/>
            <w:tcW w:w="1950" w:type="dxa"/>
            <w:shd w:val="clear" w:color="auto" w:fill="F2F5FA"/>
          </w:tcPr>
          <w:p>
            <w:pPr>
              <w:spacing w:after="20" w:before="20"/>
            </w:pPr>
            <w:r/>
            <w:r>
              <w:rPr>
                <w:rFonts w:ascii="Calibri" w:hAnsi="Calibri"/>
                <w:b w:val="0"/>
                <w:i w:val="0"/>
                <w:sz w:val="16"/>
              </w:rPr>
              <w:t>SHIELD and RSA offer discipline</w:t>
            </w:r>
          </w:p>
        </w:tc>
        <w:tc>
          <w:tcPr>
            <w:tcW w:type="dxa" w:w="2850"/>
            <w:tcW w:w="2850" w:type="dxa"/>
            <w:shd w:val="clear" w:color="auto" w:fill="F2F5FA"/>
          </w:tcPr>
          <w:p>
            <w:pPr>
              <w:spacing w:after="20" w:before="20"/>
            </w:pPr>
            <w:r/>
            <w:r>
              <w:rPr>
                <w:rFonts w:ascii="Calibri" w:hAnsi="Calibri"/>
                <w:b w:val="0"/>
                <w:i w:val="0"/>
                <w:sz w:val="16"/>
              </w:rPr>
              <w:t>Sample of non-buying customers: was the product offered, quoted, and the decline reason recorded</w:t>
            </w:r>
          </w:p>
        </w:tc>
        <w:tc>
          <w:tcPr>
            <w:tcW w:type="dxa" w:w="2250"/>
            <w:tcW w:w="2250" w:type="dxa"/>
            <w:shd w:val="clear" w:color="auto" w:fill="F2F5FA"/>
          </w:tcPr>
          <w:p>
            <w:pPr>
              <w:spacing w:after="20" w:before="20"/>
            </w:pPr>
            <w:r/>
            <w:r>
              <w:rPr>
                <w:rFonts w:ascii="Calibri" w:hAnsi="Calibri"/>
                <w:b w:val="0"/>
                <w:i w:val="0"/>
                <w:sz w:val="16"/>
              </w:rPr>
              <w:t>100% offered and recorded</w:t>
            </w:r>
          </w:p>
        </w:tc>
        <w:tc>
          <w:tcPr>
            <w:tcW w:type="dxa" w:w="3150"/>
            <w:tcW w:w="3150" w:type="dxa"/>
            <w:shd w:val="clear" w:color="auto" w:fill="F2F5FA"/>
          </w:tcPr>
          <w:p>
            <w:pPr>
              <w:spacing w:after="20" w:before="20"/>
            </w:pPr>
            <w:r/>
            <w:r>
              <w:rPr>
                <w:rFonts w:ascii="Calibri" w:hAnsi="Calibri"/>
                <w:b w:val="0"/>
                <w:i w:val="0"/>
                <w:sz w:val="16"/>
              </w:rPr>
              <w:t>—</w:t>
            </w:r>
          </w:p>
          <w:p>
            <w:pPr>
              <w:spacing w:after="20"/>
            </w:pPr>
            <w:r>
              <w:rPr>
                <w:rFonts w:ascii="Calibri" w:hAnsi="Calibri"/>
                <w:i/>
                <w:color w:val="2E5C8A"/>
                <w:sz w:val="14"/>
              </w:rPr>
              <w:t>Source: Retails.xlsx › Export</w:t>
            </w:r>
          </w:p>
        </w:tc>
        <w:tc>
          <w:tcPr>
            <w:tcW w:type="dxa" w:w="480"/>
            <w:tcW w:w="480" w:type="dxa"/>
            <w:shd w:val="clear" w:color="auto" w:fill="F2F5FA"/>
          </w:tcPr>
          <w:p>
            <w:pPr>
              <w:spacing w:after="20" w:before="20"/>
              <w:jc w:val="center"/>
            </w:pPr>
            <w:r/>
            <w:r>
              <w:rPr>
                <w:rFonts w:ascii="Calibri" w:hAnsi="Calibri"/>
                <w:b w:val="0"/>
                <w:i w:val="0"/>
                <w:sz w:val="16"/>
              </w:rPr>
              <w:t>1.1</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no decline-reason field exists in the retail extract; score from the physical audit sample instead</w:t>
            </w:r>
          </w:p>
        </w:tc>
      </w:tr>
      <w:tr>
        <w:tc>
          <w:tcPr>
            <w:tcW w:type="dxa" w:w="520"/>
            <w:tcW w:w="520" w:type="dxa"/>
          </w:tcPr>
          <w:p>
            <w:pPr>
              <w:spacing w:after="20" w:before="20"/>
              <w:jc w:val="center"/>
            </w:pPr>
            <w:r/>
            <w:r>
              <w:rPr>
                <w:rFonts w:ascii="Calibri" w:hAnsi="Calibri"/>
                <w:b/>
                <w:i w:val="0"/>
                <w:sz w:val="16"/>
              </w:rPr>
              <w:t>6.5</w:t>
            </w:r>
          </w:p>
        </w:tc>
        <w:tc>
          <w:tcPr>
            <w:tcW w:type="dxa" w:w="1950"/>
            <w:tcW w:w="1950" w:type="dxa"/>
          </w:tcPr>
          <w:p>
            <w:pPr>
              <w:spacing w:after="20" w:before="20"/>
            </w:pPr>
            <w:r/>
            <w:r>
              <w:rPr>
                <w:rFonts w:ascii="Calibri" w:hAnsi="Calibri"/>
                <w:b w:val="0"/>
                <w:i w:val="0"/>
                <w:sz w:val="16"/>
              </w:rPr>
              <w:t>Finance penetration</w:t>
            </w:r>
          </w:p>
        </w:tc>
        <w:tc>
          <w:tcPr>
            <w:tcW w:type="dxa" w:w="2850"/>
            <w:tcW w:w="2850" w:type="dxa"/>
          </w:tcPr>
          <w:p>
            <w:pPr>
              <w:spacing w:after="20" w:before="20"/>
            </w:pPr>
            <w:r/>
            <w:r>
              <w:rPr>
                <w:rFonts w:ascii="Calibri" w:hAnsi="Calibri"/>
                <w:b w:val="0"/>
                <w:i w:val="0"/>
                <w:sz w:val="16"/>
              </w:rPr>
              <w:t>Retails funded through dealer-arranged finance</w:t>
            </w:r>
          </w:p>
        </w:tc>
        <w:tc>
          <w:tcPr>
            <w:tcW w:type="dxa" w:w="2250"/>
            <w:tcW w:w="2250" w:type="dxa"/>
          </w:tcPr>
          <w:p>
            <w:pPr>
              <w:spacing w:after="20" w:before="20"/>
            </w:pPr>
            <w:r/>
            <w:r>
              <w:rPr>
                <w:rFonts w:ascii="Calibri" w:hAnsi="Calibri"/>
                <w:b w:val="0"/>
                <w:i w:val="0"/>
                <w:sz w:val="16"/>
              </w:rPr>
              <w:t>≥70%</w:t>
            </w:r>
          </w:p>
        </w:tc>
        <w:tc>
          <w:tcPr>
            <w:tcW w:type="dxa" w:w="3150"/>
            <w:tcW w:w="3150" w:type="dxa"/>
          </w:tcPr>
          <w:p>
            <w:pPr>
              <w:spacing w:after="20" w:before="20"/>
            </w:pPr>
            <w:r/>
            <w:r>
              <w:rPr>
                <w:rFonts w:ascii="Calibri" w:hAnsi="Calibri"/>
                <w:b w:val="0"/>
                <w:i w:val="0"/>
                <w:sz w:val="16"/>
              </w:rPr>
              <w:t>Dealer-arranged on 18 of 30 = 60.0%; financier named on 90.0%</w:t>
            </w:r>
          </w:p>
          <w:p>
            <w:pPr>
              <w:spacing w:after="20"/>
            </w:pPr>
            <w:r>
              <w:rPr>
                <w:rFonts w:ascii="Calibri" w:hAnsi="Calibri"/>
                <w:i/>
                <w:color w:val="2E5C8A"/>
                <w:sz w:val="14"/>
              </w:rPr>
              <w:t>Source: Retails.xlsx › Export › Finance Arrange By, Financier</w:t>
            </w:r>
          </w:p>
        </w:tc>
        <w:tc>
          <w:tcPr>
            <w:tcW w:type="dxa" w:w="480"/>
            <w:tcW w:w="480" w:type="dxa"/>
          </w:tcPr>
          <w:p>
            <w:pPr>
              <w:spacing w:after="20" w:before="20"/>
              <w:jc w:val="center"/>
            </w:pPr>
            <w:r/>
            <w:r>
              <w:rPr>
                <w:rFonts w:ascii="Calibri" w:hAnsi="Calibri"/>
                <w:b w:val="0"/>
                <w:i w:val="0"/>
                <w:sz w:val="16"/>
              </w:rPr>
              <w:t>2.2</w:t>
            </w:r>
          </w:p>
        </w:tc>
        <w:tc>
          <w:tcPr>
            <w:tcW w:type="dxa" w:w="560"/>
            <w:tcW w:w="560" w:type="dxa"/>
          </w:tcPr>
          <w:p>
            <w:pPr>
              <w:spacing w:after="20" w:before="20"/>
              <w:jc w:val="center"/>
            </w:pPr>
            <w:r/>
            <w:r>
              <w:rPr>
                <w:rFonts w:ascii="Calibri" w:hAnsi="Calibri"/>
                <w:b w:val="0"/>
                <w:i w:val="0"/>
                <w:sz w:val="16"/>
              </w:rPr>
              <w:t>86%</w:t>
            </w:r>
          </w:p>
        </w:tc>
        <w:tc>
          <w:tcPr>
            <w:tcW w:type="dxa" w:w="560"/>
            <w:tcW w:w="560" w:type="dxa"/>
          </w:tcPr>
          <w:p>
            <w:pPr>
              <w:spacing w:after="20" w:before="20"/>
              <w:jc w:val="center"/>
            </w:pPr>
            <w:r/>
            <w:r>
              <w:rPr>
                <w:rFonts w:ascii="Calibri" w:hAnsi="Calibri"/>
                <w:b/>
                <w:i w:val="0"/>
                <w:sz w:val="16"/>
              </w:rPr>
              <w:t>1.9</w:t>
            </w:r>
          </w:p>
        </w:tc>
        <w:tc>
          <w:tcPr>
            <w:tcW w:type="dxa" w:w="3318"/>
            <w:tcW w:w="3318" w:type="dxa"/>
            <w:shd w:val="clear" w:color="auto" w:fill="FFEB9C"/>
          </w:tcPr>
          <w:p>
            <w:pPr>
              <w:spacing w:after="20" w:before="20"/>
            </w:pPr>
            <w:r/>
            <w:r>
              <w:rPr>
                <w:rFonts w:ascii="Calibri" w:hAnsi="Calibri"/>
                <w:b w:val="0"/>
                <w:i w:val="0"/>
                <w:sz w:val="16"/>
              </w:rPr>
              <w:t>Amber — norm 70%</w:t>
            </w:r>
          </w:p>
        </w:tc>
      </w:tr>
      <w:tr>
        <w:tc>
          <w:tcPr>
            <w:tcW w:type="dxa" w:w="520"/>
            <w:tcW w:w="520" w:type="dxa"/>
            <w:shd w:val="clear" w:color="auto" w:fill="F2F5FA"/>
          </w:tcPr>
          <w:p>
            <w:pPr>
              <w:spacing w:after="20" w:before="20"/>
              <w:jc w:val="center"/>
            </w:pPr>
            <w:r/>
            <w:r>
              <w:rPr>
                <w:rFonts w:ascii="Calibri" w:hAnsi="Calibri"/>
                <w:b/>
                <w:i w:val="0"/>
                <w:sz w:val="16"/>
              </w:rPr>
              <w:t>6.6</w:t>
            </w:r>
          </w:p>
        </w:tc>
        <w:tc>
          <w:tcPr>
            <w:tcW w:type="dxa" w:w="1950"/>
            <w:tcW w:w="1950" w:type="dxa"/>
            <w:shd w:val="clear" w:color="auto" w:fill="F2F5FA"/>
          </w:tcPr>
          <w:p>
            <w:pPr>
              <w:spacing w:after="20" w:before="20"/>
            </w:pPr>
            <w:r/>
            <w:r>
              <w:rPr>
                <w:rFonts w:ascii="Calibri" w:hAnsi="Calibri"/>
                <w:b w:val="0"/>
                <w:i w:val="0"/>
                <w:sz w:val="16"/>
              </w:rPr>
              <w:t>Insurance penetration</w:t>
            </w:r>
          </w:p>
        </w:tc>
        <w:tc>
          <w:tcPr>
            <w:tcW w:type="dxa" w:w="2850"/>
            <w:tcW w:w="2850" w:type="dxa"/>
            <w:shd w:val="clear" w:color="auto" w:fill="F2F5FA"/>
          </w:tcPr>
          <w:p>
            <w:pPr>
              <w:spacing w:after="20" w:before="20"/>
            </w:pPr>
            <w:r/>
            <w:r>
              <w:rPr>
                <w:rFonts w:ascii="Calibri" w:hAnsi="Calibri"/>
                <w:b w:val="0"/>
                <w:i w:val="0"/>
                <w:sz w:val="16"/>
              </w:rPr>
              <w:t>In-house insurance against total retails</w:t>
            </w:r>
          </w:p>
        </w:tc>
        <w:tc>
          <w:tcPr>
            <w:tcW w:type="dxa" w:w="2250"/>
            <w:tcW w:w="2250" w:type="dxa"/>
            <w:shd w:val="clear" w:color="auto" w:fill="F2F5FA"/>
          </w:tcPr>
          <w:p>
            <w:pPr>
              <w:spacing w:after="20" w:before="20"/>
            </w:pPr>
            <w:r/>
            <w:r>
              <w:rPr>
                <w:rFonts w:ascii="Calibri" w:hAnsi="Calibri"/>
                <w:b w:val="0"/>
                <w:i w:val="0"/>
                <w:sz w:val="16"/>
              </w:rPr>
              <w:t>≥85%</w:t>
            </w:r>
          </w:p>
        </w:tc>
        <w:tc>
          <w:tcPr>
            <w:tcW w:type="dxa" w:w="3150"/>
            <w:tcW w:w="3150" w:type="dxa"/>
            <w:shd w:val="clear" w:color="auto" w:fill="F2F5FA"/>
          </w:tcPr>
          <w:p>
            <w:pPr>
              <w:spacing w:after="20" w:before="20"/>
            </w:pPr>
            <w:r/>
            <w:r>
              <w:rPr>
                <w:rFonts w:ascii="Calibri" w:hAnsi="Calibri"/>
                <w:b w:val="0"/>
                <w:i w:val="0"/>
                <w:sz w:val="16"/>
              </w:rPr>
              <w:t>Insurer recorded as a generic value on 30 of 30 (100.0%); insurance amount blank on 30 of 30</w:t>
            </w:r>
          </w:p>
          <w:p>
            <w:pPr>
              <w:spacing w:after="20"/>
            </w:pPr>
            <w:r>
              <w:rPr>
                <w:rFonts w:ascii="Calibri" w:hAnsi="Calibri"/>
                <w:i/>
                <w:color w:val="2E5C8A"/>
                <w:sz w:val="14"/>
              </w:rPr>
              <w:t>Source: Retails.xlsx › Export › Insurance Company Name, Insurance Amount</w:t>
            </w:r>
          </w:p>
        </w:tc>
        <w:tc>
          <w:tcPr>
            <w:tcW w:type="dxa" w:w="480"/>
            <w:tcW w:w="480" w:type="dxa"/>
            <w:shd w:val="clear" w:color="auto" w:fill="F2F5FA"/>
          </w:tcPr>
          <w:p>
            <w:pPr>
              <w:spacing w:after="20" w:before="20"/>
              <w:jc w:val="center"/>
            </w:pPr>
            <w:r/>
            <w:r>
              <w:rPr>
                <w:rFonts w:ascii="Calibri" w:hAnsi="Calibri"/>
                <w:b w:val="0"/>
                <w:i w:val="0"/>
                <w:sz w:val="16"/>
              </w:rPr>
              <w:t>1.7</w:t>
            </w:r>
          </w:p>
        </w:tc>
        <w:tc>
          <w:tcPr>
            <w:tcW w:type="dxa" w:w="560"/>
            <w:tcW w:w="560" w:type="dxa"/>
            <w:shd w:val="clear" w:color="auto" w:fill="F2F5FA"/>
          </w:tcPr>
          <w:p>
            <w:pPr>
              <w:spacing w:after="20" w:before="20"/>
              <w:jc w:val="center"/>
            </w:pPr>
            <w:r/>
            <w:r>
              <w:rPr>
                <w:rFonts w:ascii="Calibri" w:hAnsi="Calibri"/>
                <w:b w:val="0"/>
                <w:i w:val="0"/>
                <w:sz w:val="16"/>
              </w:rPr>
              <w:t>0%</w:t>
            </w:r>
          </w:p>
        </w:tc>
        <w:tc>
          <w:tcPr>
            <w:tcW w:type="dxa" w:w="560"/>
            <w:tcW w:w="560" w:type="dxa"/>
            <w:shd w:val="clear" w:color="auto" w:fill="F2F5FA"/>
          </w:tcPr>
          <w:p>
            <w:pPr>
              <w:spacing w:after="20" w:before="20"/>
              <w:jc w:val="center"/>
            </w:pPr>
            <w:r/>
            <w:r>
              <w:rPr>
                <w:rFonts w:ascii="Calibri" w:hAnsi="Calibri"/>
                <w:b/>
                <w:i w:val="0"/>
                <w:sz w:val="16"/>
              </w:rPr>
              <w:t>0.0</w:t>
            </w:r>
          </w:p>
        </w:tc>
        <w:tc>
          <w:tcPr>
            <w:tcW w:type="dxa" w:w="3318"/>
            <w:tcW w:w="3318" w:type="dxa"/>
            <w:shd w:val="clear" w:color="auto" w:fill="F2F5FA"/>
            <w:shd w:val="clear" w:color="auto" w:fill="FFC7CE"/>
          </w:tcPr>
          <w:p>
            <w:pPr>
              <w:spacing w:after="20" w:before="20"/>
            </w:pPr>
            <w:r/>
            <w:r>
              <w:rPr>
                <w:rFonts w:ascii="Calibri" w:hAnsi="Calibri"/>
                <w:b w:val="0"/>
                <w:i w:val="0"/>
                <w:sz w:val="16"/>
              </w:rPr>
              <w:t>Red — in-house share cannot be identified from the insurer master</w:t>
            </w:r>
          </w:p>
        </w:tc>
      </w:tr>
      <w:tr>
        <w:tc>
          <w:tcPr>
            <w:tcW w:type="dxa" w:w="520"/>
            <w:tcW w:w="520" w:type="dxa"/>
          </w:tcPr>
          <w:p>
            <w:pPr>
              <w:spacing w:after="20" w:before="20"/>
              <w:jc w:val="center"/>
            </w:pPr>
            <w:r/>
            <w:r>
              <w:rPr>
                <w:rFonts w:ascii="Calibri" w:hAnsi="Calibri"/>
                <w:b/>
                <w:i w:val="0"/>
                <w:sz w:val="16"/>
              </w:rPr>
              <w:t>6.7</w:t>
            </w:r>
          </w:p>
        </w:tc>
        <w:tc>
          <w:tcPr>
            <w:tcW w:type="dxa" w:w="1950"/>
            <w:tcW w:w="1950" w:type="dxa"/>
          </w:tcPr>
          <w:p>
            <w:pPr>
              <w:spacing w:after="20" w:before="20"/>
            </w:pPr>
            <w:r/>
            <w:r>
              <w:rPr>
                <w:rFonts w:ascii="Calibri" w:hAnsi="Calibri"/>
                <w:b w:val="0"/>
                <w:i w:val="0"/>
                <w:sz w:val="16"/>
              </w:rPr>
              <w:t>Exchange penetration</w:t>
            </w:r>
          </w:p>
        </w:tc>
        <w:tc>
          <w:tcPr>
            <w:tcW w:type="dxa" w:w="2850"/>
            <w:tcW w:w="2850" w:type="dxa"/>
          </w:tcPr>
          <w:p>
            <w:pPr>
              <w:spacing w:after="20" w:before="20"/>
            </w:pPr>
            <w:r/>
            <w:r>
              <w:rPr>
                <w:rFonts w:ascii="Calibri" w:hAnsi="Calibri"/>
                <w:b w:val="0"/>
                <w:i w:val="0"/>
                <w:sz w:val="16"/>
              </w:rPr>
              <w:t>Exchange-linked retails against total retails</w:t>
            </w:r>
          </w:p>
        </w:tc>
        <w:tc>
          <w:tcPr>
            <w:tcW w:type="dxa" w:w="2250"/>
            <w:tcW w:w="2250" w:type="dxa"/>
          </w:tcPr>
          <w:p>
            <w:pPr>
              <w:spacing w:after="20" w:before="20"/>
            </w:pPr>
            <w:r/>
            <w:r>
              <w:rPr>
                <w:rFonts w:ascii="Calibri" w:hAnsi="Calibri"/>
                <w:b w:val="0"/>
                <w:i w:val="0"/>
                <w:sz w:val="16"/>
              </w:rPr>
              <w:t>≥25%</w:t>
            </w:r>
          </w:p>
        </w:tc>
        <w:tc>
          <w:tcPr>
            <w:tcW w:type="dxa" w:w="3150"/>
            <w:tcW w:w="3150" w:type="dxa"/>
          </w:tcPr>
          <w:p>
            <w:pPr>
              <w:spacing w:after="20" w:before="20"/>
            </w:pPr>
            <w:r/>
            <w:r>
              <w:rPr>
                <w:rFonts w:ascii="Calibri" w:hAnsi="Calibri"/>
                <w:b w:val="0"/>
                <w:i w:val="0"/>
                <w:sz w:val="16"/>
              </w:rPr>
              <w:t>Exchange on 3 of 30 = 10.0%</w:t>
            </w:r>
          </w:p>
          <w:p>
            <w:pPr>
              <w:spacing w:after="20"/>
            </w:pPr>
            <w:r>
              <w:rPr>
                <w:rFonts w:ascii="Calibri" w:hAnsi="Calibri"/>
                <w:i/>
                <w:color w:val="2E5C8A"/>
                <w:sz w:val="14"/>
              </w:rPr>
              <w:t>Source: Retails.xlsx › Export › Exchange Indicator</w:t>
            </w:r>
          </w:p>
        </w:tc>
        <w:tc>
          <w:tcPr>
            <w:tcW w:type="dxa" w:w="480"/>
            <w:tcW w:w="480" w:type="dxa"/>
          </w:tcPr>
          <w:p>
            <w:pPr>
              <w:spacing w:after="20" w:before="20"/>
              <w:jc w:val="center"/>
            </w:pPr>
            <w:r/>
            <w:r>
              <w:rPr>
                <w:rFonts w:ascii="Calibri" w:hAnsi="Calibri"/>
                <w:b w:val="0"/>
                <w:i w:val="0"/>
                <w:sz w:val="16"/>
              </w:rPr>
              <w:t>0.8</w:t>
            </w:r>
          </w:p>
        </w:tc>
        <w:tc>
          <w:tcPr>
            <w:tcW w:type="dxa" w:w="560"/>
            <w:tcW w:w="560" w:type="dxa"/>
          </w:tcPr>
          <w:p>
            <w:pPr>
              <w:spacing w:after="20" w:before="20"/>
              <w:jc w:val="center"/>
            </w:pPr>
            <w:r/>
            <w:r>
              <w:rPr>
                <w:rFonts w:ascii="Calibri" w:hAnsi="Calibri"/>
                <w:b w:val="0"/>
                <w:i w:val="0"/>
                <w:sz w:val="16"/>
              </w:rPr>
              <w:t>40%</w:t>
            </w:r>
          </w:p>
        </w:tc>
        <w:tc>
          <w:tcPr>
            <w:tcW w:type="dxa" w:w="560"/>
            <w:tcW w:w="560" w:type="dxa"/>
          </w:tcPr>
          <w:p>
            <w:pPr>
              <w:spacing w:after="20" w:before="20"/>
              <w:jc w:val="center"/>
            </w:pPr>
            <w:r/>
            <w:r>
              <w:rPr>
                <w:rFonts w:ascii="Calibri" w:hAnsi="Calibri"/>
                <w:b/>
                <w:i w:val="0"/>
                <w:sz w:val="16"/>
              </w:rPr>
              <w:t>0.3</w:t>
            </w:r>
          </w:p>
        </w:tc>
        <w:tc>
          <w:tcPr>
            <w:tcW w:type="dxa" w:w="3318"/>
            <w:tcW w:w="3318" w:type="dxa"/>
            <w:shd w:val="clear" w:color="auto" w:fill="FFC7CE"/>
          </w:tcPr>
          <w:p>
            <w:pPr>
              <w:spacing w:after="20" w:before="20"/>
            </w:pPr>
            <w:r/>
            <w:r>
              <w:rPr>
                <w:rFonts w:ascii="Calibri" w:hAnsi="Calibri"/>
                <w:b w:val="0"/>
                <w:i w:val="0"/>
                <w:sz w:val="16"/>
              </w:rPr>
              <w:t>Red — norm 25%</w:t>
            </w:r>
          </w:p>
        </w:tc>
      </w:tr>
      <w:tr>
        <w:tc>
          <w:tcPr>
            <w:tcW w:type="dxa" w:w="15638"/>
            <w:gridSpan w:val="9"/>
            <w:shd w:val="clear" w:color="auto" w:fill="DCE6F1"/>
          </w:tcPr>
          <w:p>
            <w:pPr>
              <w:spacing w:after="20" w:before="20"/>
            </w:pPr>
            <w:r/>
            <w:r>
              <w:rPr>
                <w:rFonts w:ascii="Calibri" w:hAnsi="Calibri"/>
                <w:b/>
                <w:i w:val="0"/>
                <w:color w:val="1F3864"/>
                <w:sz w:val="18"/>
              </w:rPr>
              <w:t>G. Customer experience health  —  weightage 11  (scored 2.1, achievement 15.8%)</w:t>
            </w:r>
          </w:p>
        </w:tc>
      </w:tr>
      <w:tr>
        <w:tc>
          <w:tcPr>
            <w:tcW w:type="dxa" w:w="520"/>
            <w:tcW w:w="520" w:type="dxa"/>
          </w:tcPr>
          <w:p>
            <w:pPr>
              <w:spacing w:after="20" w:before="20"/>
              <w:jc w:val="center"/>
            </w:pPr>
            <w:r/>
            <w:r>
              <w:rPr>
                <w:rFonts w:ascii="Calibri" w:hAnsi="Calibri"/>
                <w:b/>
                <w:i w:val="0"/>
                <w:sz w:val="16"/>
              </w:rPr>
              <w:t>7.1</w:t>
            </w:r>
          </w:p>
        </w:tc>
        <w:tc>
          <w:tcPr>
            <w:tcW w:type="dxa" w:w="1950"/>
            <w:tcW w:w="1950" w:type="dxa"/>
          </w:tcPr>
          <w:p>
            <w:pPr>
              <w:spacing w:after="20" w:before="20"/>
            </w:pPr>
            <w:r/>
            <w:r>
              <w:rPr>
                <w:rFonts w:ascii="Calibri" w:hAnsi="Calibri"/>
                <w:b w:val="0"/>
                <w:i w:val="0"/>
                <w:sz w:val="16"/>
              </w:rPr>
              <w:t>NVD / SSI top-box score</w:t>
            </w:r>
          </w:p>
        </w:tc>
        <w:tc>
          <w:tcPr>
            <w:tcW w:type="dxa" w:w="2850"/>
            <w:tcW w:w="2850" w:type="dxa"/>
          </w:tcPr>
          <w:p>
            <w:pPr>
              <w:spacing w:after="20" w:before="20"/>
            </w:pPr>
            <w:r/>
            <w:r>
              <w:rPr>
                <w:rFonts w:ascii="Calibri" w:hAnsi="Calibri"/>
                <w:b w:val="0"/>
                <w:i w:val="0"/>
                <w:sz w:val="16"/>
              </w:rPr>
              <w:t>OEM customer feedback score for the period</w:t>
            </w:r>
          </w:p>
        </w:tc>
        <w:tc>
          <w:tcPr>
            <w:tcW w:type="dxa" w:w="2250"/>
            <w:tcW w:w="2250" w:type="dxa"/>
          </w:tcPr>
          <w:p>
            <w:pPr>
              <w:spacing w:after="20" w:before="20"/>
            </w:pPr>
            <w:r/>
            <w:r>
              <w:rPr>
                <w:rFonts w:ascii="Calibri" w:hAnsi="Calibri"/>
                <w:b w:val="0"/>
                <w:i w:val="0"/>
                <w:sz w:val="16"/>
              </w:rPr>
              <w:t>≥ OEM target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4.0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NVD/SSI score report not supplied; only complaint extracts available</w:t>
            </w:r>
          </w:p>
        </w:tc>
      </w:tr>
      <w:tr>
        <w:tc>
          <w:tcPr>
            <w:tcW w:type="dxa" w:w="520"/>
            <w:tcW w:w="520" w:type="dxa"/>
            <w:shd w:val="clear" w:color="auto" w:fill="F2F5FA"/>
          </w:tcPr>
          <w:p>
            <w:pPr>
              <w:spacing w:after="20" w:before="20"/>
              <w:jc w:val="center"/>
            </w:pPr>
            <w:r/>
            <w:r>
              <w:rPr>
                <w:rFonts w:ascii="Calibri" w:hAnsi="Calibri"/>
                <w:b/>
                <w:i w:val="0"/>
                <w:sz w:val="16"/>
              </w:rPr>
              <w:t>7.2</w:t>
            </w:r>
          </w:p>
        </w:tc>
        <w:tc>
          <w:tcPr>
            <w:tcW w:type="dxa" w:w="1950"/>
            <w:tcW w:w="1950" w:type="dxa"/>
            <w:shd w:val="clear" w:color="auto" w:fill="F2F5FA"/>
          </w:tcPr>
          <w:p>
            <w:pPr>
              <w:spacing w:after="20" w:before="20"/>
            </w:pPr>
            <w:r/>
            <w:r>
              <w:rPr>
                <w:rFonts w:ascii="Calibri" w:hAnsi="Calibri"/>
                <w:b w:val="0"/>
                <w:i w:val="0"/>
                <w:sz w:val="16"/>
              </w:rPr>
              <w:t>Complaints per 1000</w:t>
            </w:r>
          </w:p>
        </w:tc>
        <w:tc>
          <w:tcPr>
            <w:tcW w:type="dxa" w:w="2850"/>
            <w:tcW w:w="2850" w:type="dxa"/>
            <w:shd w:val="clear" w:color="auto" w:fill="F2F5FA"/>
          </w:tcPr>
          <w:p>
            <w:pPr>
              <w:spacing w:after="20" w:before="20"/>
            </w:pPr>
            <w:r/>
            <w:r>
              <w:rPr>
                <w:rFonts w:ascii="Calibri" w:hAnsi="Calibri"/>
                <w:b w:val="0"/>
                <w:i w:val="0"/>
                <w:sz w:val="16"/>
              </w:rPr>
              <w:t>Complaints at enquiry, test drive and delivery stage</w:t>
            </w:r>
          </w:p>
        </w:tc>
        <w:tc>
          <w:tcPr>
            <w:tcW w:type="dxa" w:w="2250"/>
            <w:tcW w:w="2250" w:type="dxa"/>
            <w:shd w:val="clear" w:color="auto" w:fill="F2F5FA"/>
          </w:tcPr>
          <w:p>
            <w:pPr>
              <w:spacing w:after="20" w:before="20"/>
            </w:pPr>
            <w:r/>
            <w:r>
              <w:rPr>
                <w:rFonts w:ascii="Calibri" w:hAnsi="Calibri"/>
                <w:b w:val="0"/>
                <w:i w:val="0"/>
                <w:sz w:val="16"/>
              </w:rPr>
              <w:t>Reduction against the prior period</w:t>
            </w:r>
          </w:p>
        </w:tc>
        <w:tc>
          <w:tcPr>
            <w:tcW w:type="dxa" w:w="3150"/>
            <w:tcW w:w="3150" w:type="dxa"/>
            <w:shd w:val="clear" w:color="auto" w:fill="F2F5FA"/>
          </w:tcPr>
          <w:p>
            <w:pPr>
              <w:spacing w:after="20" w:before="20"/>
            </w:pPr>
            <w:r/>
            <w:r>
              <w:rPr>
                <w:rFonts w:ascii="Calibri" w:hAnsi="Calibri"/>
                <w:b w:val="0"/>
                <w:i w:val="0"/>
                <w:sz w:val="16"/>
              </w:rPr>
              <w:t>enquiry 0 complaints = 0.0 per 1000; test drive 0 complaints = 0.0 per 1000; delivery 0 complaints = 0.0 per 1000</w:t>
            </w:r>
          </w:p>
          <w:p>
            <w:pPr>
              <w:spacing w:after="20"/>
            </w:pPr>
            <w:r>
              <w:rPr>
                <w:rFonts w:ascii="Calibri" w:hAnsi="Calibri"/>
                <w:i/>
                <w:color w:val="2E5C8A"/>
                <w:sz w:val="14"/>
              </w:rPr>
              <w:t>Source: Complaint extracts F7–F10</w:t>
            </w:r>
          </w:p>
        </w:tc>
        <w:tc>
          <w:tcPr>
            <w:tcW w:type="dxa" w:w="480"/>
            <w:tcW w:w="480" w:type="dxa"/>
            <w:shd w:val="clear" w:color="auto" w:fill="F2F5FA"/>
          </w:tcPr>
          <w:p>
            <w:pPr>
              <w:spacing w:after="20" w:before="20"/>
              <w:jc w:val="center"/>
            </w:pPr>
            <w:r/>
            <w:r>
              <w:rPr>
                <w:rFonts w:ascii="Calibri" w:hAnsi="Calibri"/>
                <w:b w:val="0"/>
                <w:i w:val="0"/>
                <w:sz w:val="16"/>
              </w:rPr>
              <w:t>3.0</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prior period not supplied, so reduction cannot be scored</w:t>
            </w:r>
          </w:p>
        </w:tc>
      </w:tr>
      <w:tr>
        <w:tc>
          <w:tcPr>
            <w:tcW w:type="dxa" w:w="520"/>
            <w:tcW w:w="520" w:type="dxa"/>
          </w:tcPr>
          <w:p>
            <w:pPr>
              <w:spacing w:after="20" w:before="20"/>
              <w:jc w:val="center"/>
            </w:pPr>
            <w:r/>
            <w:r>
              <w:rPr>
                <w:rFonts w:ascii="Calibri" w:hAnsi="Calibri"/>
                <w:b/>
                <w:i w:val="0"/>
                <w:sz w:val="16"/>
              </w:rPr>
              <w:t>7.3</w:t>
            </w:r>
          </w:p>
        </w:tc>
        <w:tc>
          <w:tcPr>
            <w:tcW w:type="dxa" w:w="1950"/>
            <w:tcW w:w="1950" w:type="dxa"/>
          </w:tcPr>
          <w:p>
            <w:pPr>
              <w:spacing w:after="20" w:before="20"/>
            </w:pPr>
            <w:r/>
            <w:r>
              <w:rPr>
                <w:rFonts w:ascii="Calibri" w:hAnsi="Calibri"/>
                <w:b w:val="0"/>
                <w:i w:val="0"/>
                <w:sz w:val="16"/>
              </w:rPr>
              <w:t>Escalation TAT and repeat concerns</w:t>
            </w:r>
          </w:p>
        </w:tc>
        <w:tc>
          <w:tcPr>
            <w:tcW w:type="dxa" w:w="2850"/>
            <w:tcW w:w="2850" w:type="dxa"/>
          </w:tcPr>
          <w:p>
            <w:pPr>
              <w:spacing w:after="20" w:before="20"/>
            </w:pPr>
            <w:r/>
            <w:r>
              <w:rPr>
                <w:rFonts w:ascii="Calibri" w:hAnsi="Calibri"/>
                <w:b w:val="0"/>
                <w:i w:val="0"/>
                <w:sz w:val="16"/>
              </w:rPr>
              <w:t>Escalation log: owner, closure within TAT, repeats</w:t>
            </w:r>
          </w:p>
        </w:tc>
        <w:tc>
          <w:tcPr>
            <w:tcW w:type="dxa" w:w="2250"/>
            <w:tcW w:w="2250" w:type="dxa"/>
          </w:tcPr>
          <w:p>
            <w:pPr>
              <w:spacing w:after="20" w:before="20"/>
            </w:pPr>
            <w:r/>
            <w:r>
              <w:rPr>
                <w:rFonts w:ascii="Calibri" w:hAnsi="Calibri"/>
                <w:b w:val="0"/>
                <w:i w:val="0"/>
                <w:sz w:val="16"/>
              </w:rPr>
              <w:t>100% within TAT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escalation log not supplied</w:t>
            </w:r>
          </w:p>
        </w:tc>
      </w:tr>
      <w:tr>
        <w:tc>
          <w:tcPr>
            <w:tcW w:type="dxa" w:w="520"/>
            <w:tcW w:w="520" w:type="dxa"/>
            <w:shd w:val="clear" w:color="auto" w:fill="F2F5FA"/>
          </w:tcPr>
          <w:p>
            <w:pPr>
              <w:spacing w:after="20" w:before="20"/>
              <w:jc w:val="center"/>
            </w:pPr>
            <w:r/>
            <w:r>
              <w:rPr>
                <w:rFonts w:ascii="Calibri" w:hAnsi="Calibri"/>
                <w:b/>
                <w:i w:val="0"/>
                <w:sz w:val="16"/>
              </w:rPr>
              <w:t>7.4</w:t>
            </w:r>
          </w:p>
        </w:tc>
        <w:tc>
          <w:tcPr>
            <w:tcW w:type="dxa" w:w="1950"/>
            <w:tcW w:w="1950" w:type="dxa"/>
            <w:shd w:val="clear" w:color="auto" w:fill="F2F5FA"/>
          </w:tcPr>
          <w:p>
            <w:pPr>
              <w:spacing w:after="20" w:before="20"/>
            </w:pPr>
            <w:r/>
            <w:r>
              <w:rPr>
                <w:rFonts w:ascii="Calibri" w:hAnsi="Calibri"/>
                <w:b w:val="0"/>
                <w:i w:val="0"/>
                <w:sz w:val="16"/>
              </w:rPr>
              <w:t>Delivery documentation</w:t>
            </w:r>
          </w:p>
        </w:tc>
        <w:tc>
          <w:tcPr>
            <w:tcW w:type="dxa" w:w="2850"/>
            <w:tcW w:w="2850" w:type="dxa"/>
            <w:shd w:val="clear" w:color="auto" w:fill="F2F5FA"/>
          </w:tcPr>
          <w:p>
            <w:pPr>
              <w:spacing w:after="20" w:before="20"/>
            </w:pPr>
            <w:r/>
            <w:r>
              <w:rPr>
                <w:rFonts w:ascii="Calibri" w:hAnsi="Calibri"/>
                <w:b w:val="0"/>
                <w:i w:val="0"/>
                <w:sz w:val="16"/>
              </w:rPr>
              <w:t>Delivery note raised against every invoice</w:t>
            </w:r>
          </w:p>
        </w:tc>
        <w:tc>
          <w:tcPr>
            <w:tcW w:type="dxa" w:w="2250"/>
            <w:tcW w:w="2250" w:type="dxa"/>
            <w:shd w:val="clear" w:color="auto" w:fill="F2F5FA"/>
          </w:tcPr>
          <w:p>
            <w:pPr>
              <w:spacing w:after="20" w:before="20"/>
            </w:pPr>
            <w:r/>
            <w:r>
              <w:rPr>
                <w:rFonts w:ascii="Calibri" w:hAnsi="Calibri"/>
                <w:b w:val="0"/>
                <w:i w:val="0"/>
                <w:sz w:val="16"/>
              </w:rPr>
              <w:t>100% of invoices</w:t>
            </w:r>
          </w:p>
        </w:tc>
        <w:tc>
          <w:tcPr>
            <w:tcW w:type="dxa" w:w="3150"/>
            <w:tcW w:w="3150" w:type="dxa"/>
            <w:shd w:val="clear" w:color="auto" w:fill="F2F5FA"/>
          </w:tcPr>
          <w:p>
            <w:pPr>
              <w:spacing w:after="20" w:before="20"/>
            </w:pPr>
            <w:r/>
            <w:r>
              <w:rPr>
                <w:rFonts w:ascii="Calibri" w:hAnsi="Calibri"/>
                <w:b w:val="0"/>
                <w:i w:val="0"/>
                <w:sz w:val="16"/>
              </w:rPr>
              <w:t>Delivery note present on 9 of 30 invoiced units (30.0%)</w:t>
            </w:r>
          </w:p>
          <w:p>
            <w:pPr>
              <w:spacing w:after="20"/>
            </w:pPr>
            <w:r>
              <w:rPr>
                <w:rFonts w:ascii="Calibri" w:hAnsi="Calibri"/>
                <w:i/>
                <w:color w:val="2E5C8A"/>
                <w:sz w:val="14"/>
              </w:rPr>
              <w:t>Source: Retails.xlsx › Export › Delivery Note Date</w:t>
            </w:r>
          </w:p>
        </w:tc>
        <w:tc>
          <w:tcPr>
            <w:tcW w:type="dxa" w:w="480"/>
            <w:tcW w:w="480" w:type="dxa"/>
            <w:shd w:val="clear" w:color="auto" w:fill="F2F5FA"/>
          </w:tcPr>
          <w:p>
            <w:pPr>
              <w:spacing w:after="20" w:before="20"/>
              <w:jc w:val="center"/>
            </w:pPr>
            <w:r/>
            <w:r>
              <w:rPr>
                <w:rFonts w:ascii="Calibri" w:hAnsi="Calibri"/>
                <w:b w:val="0"/>
                <w:i w:val="0"/>
                <w:sz w:val="16"/>
              </w:rPr>
              <w:t>1.1</w:t>
            </w:r>
          </w:p>
        </w:tc>
        <w:tc>
          <w:tcPr>
            <w:tcW w:type="dxa" w:w="560"/>
            <w:tcW w:w="560" w:type="dxa"/>
            <w:shd w:val="clear" w:color="auto" w:fill="F2F5FA"/>
          </w:tcPr>
          <w:p>
            <w:pPr>
              <w:spacing w:after="20" w:before="20"/>
              <w:jc w:val="center"/>
            </w:pPr>
            <w:r/>
            <w:r>
              <w:rPr>
                <w:rFonts w:ascii="Calibri" w:hAnsi="Calibri"/>
                <w:b w:val="0"/>
                <w:i w:val="0"/>
                <w:sz w:val="16"/>
              </w:rPr>
              <w:t>30%</w:t>
            </w:r>
          </w:p>
        </w:tc>
        <w:tc>
          <w:tcPr>
            <w:tcW w:type="dxa" w:w="560"/>
            <w:tcW w:w="560" w:type="dxa"/>
            <w:shd w:val="clear" w:color="auto" w:fill="F2F5FA"/>
          </w:tcPr>
          <w:p>
            <w:pPr>
              <w:spacing w:after="20" w:before="20"/>
              <w:jc w:val="center"/>
            </w:pPr>
            <w:r/>
            <w:r>
              <w:rPr>
                <w:rFonts w:ascii="Calibri" w:hAnsi="Calibri"/>
                <w:b/>
                <w:i w:val="0"/>
                <w:sz w:val="16"/>
              </w:rPr>
              <w:t>0.3</w:t>
            </w:r>
          </w:p>
        </w:tc>
        <w:tc>
          <w:tcPr>
            <w:tcW w:type="dxa" w:w="3318"/>
            <w:tcW w:w="3318" w:type="dxa"/>
            <w:shd w:val="clear" w:color="auto" w:fill="F2F5FA"/>
            <w:shd w:val="clear" w:color="auto" w:fill="FFC7CE"/>
          </w:tcPr>
          <w:p>
            <w:pPr>
              <w:spacing w:after="20" w:before="20"/>
            </w:pPr>
            <w:r/>
            <w:r>
              <w:rPr>
                <w:rFonts w:ascii="Calibri" w:hAnsi="Calibri"/>
                <w:b w:val="0"/>
                <w:i w:val="0"/>
                <w:sz w:val="16"/>
              </w:rPr>
              <w:t>Red — 21 units with no delivery note</w:t>
            </w:r>
          </w:p>
        </w:tc>
      </w:tr>
      <w:tr>
        <w:tc>
          <w:tcPr>
            <w:tcW w:type="dxa" w:w="520"/>
            <w:tcW w:w="520" w:type="dxa"/>
          </w:tcPr>
          <w:p>
            <w:pPr>
              <w:spacing w:after="20" w:before="20"/>
              <w:jc w:val="center"/>
            </w:pPr>
            <w:r/>
            <w:r>
              <w:rPr>
                <w:rFonts w:ascii="Calibri" w:hAnsi="Calibri"/>
                <w:b/>
                <w:i w:val="0"/>
                <w:sz w:val="16"/>
              </w:rPr>
              <w:t>7.5</w:t>
            </w:r>
          </w:p>
        </w:tc>
        <w:tc>
          <w:tcPr>
            <w:tcW w:type="dxa" w:w="1950"/>
            <w:tcW w:w="1950" w:type="dxa"/>
          </w:tcPr>
          <w:p>
            <w:pPr>
              <w:spacing w:after="20" w:before="20"/>
            </w:pPr>
            <w:r/>
            <w:r>
              <w:rPr>
                <w:rFonts w:ascii="Calibri" w:hAnsi="Calibri"/>
                <w:b w:val="0"/>
                <w:i w:val="0"/>
                <w:sz w:val="16"/>
              </w:rPr>
              <w:t>Delivery commitment adherence</w:t>
            </w:r>
          </w:p>
        </w:tc>
        <w:tc>
          <w:tcPr>
            <w:tcW w:type="dxa" w:w="2850"/>
            <w:tcW w:w="2850" w:type="dxa"/>
          </w:tcPr>
          <w:p>
            <w:pPr>
              <w:spacing w:after="20" w:before="20"/>
            </w:pPr>
            <w:r/>
            <w:r>
              <w:rPr>
                <w:rFonts w:ascii="Calibri" w:hAnsi="Calibri"/>
                <w:b w:val="0"/>
                <w:i w:val="0"/>
                <w:sz w:val="16"/>
              </w:rPr>
              <w:t>Promised delivery date recorded and honoured</w:t>
            </w:r>
          </w:p>
        </w:tc>
        <w:tc>
          <w:tcPr>
            <w:tcW w:type="dxa" w:w="2250"/>
            <w:tcW w:w="2250" w:type="dxa"/>
          </w:tcPr>
          <w:p>
            <w:pPr>
              <w:spacing w:after="20" w:before="20"/>
            </w:pPr>
            <w:r/>
            <w:r>
              <w:rPr>
                <w:rFonts w:ascii="Calibri" w:hAnsi="Calibri"/>
                <w:b w:val="0"/>
                <w:i w:val="0"/>
                <w:sz w:val="16"/>
              </w:rPr>
              <w:t>Within committed date; booking to invoice ≤30 days</w:t>
            </w:r>
          </w:p>
        </w:tc>
        <w:tc>
          <w:tcPr>
            <w:tcW w:type="dxa" w:w="3150"/>
            <w:tcW w:w="3150" w:type="dxa"/>
          </w:tcPr>
          <w:p>
            <w:pPr>
              <w:spacing w:after="20" w:before="20"/>
            </w:pPr>
            <w:r/>
            <w:r>
              <w:rPr>
                <w:rFonts w:ascii="Calibri" w:hAnsi="Calibri"/>
                <w:b w:val="0"/>
                <w:i w:val="0"/>
                <w:sz w:val="16"/>
              </w:rPr>
              <w:t>Promised delivery date populated on 0 of 30. Booking to invoice median 8 days; 1 (3.3%) beyond 30 days</w:t>
            </w:r>
          </w:p>
          <w:p>
            <w:pPr>
              <w:spacing w:after="20"/>
            </w:pPr>
            <w:r>
              <w:rPr>
                <w:rFonts w:ascii="Calibri" w:hAnsi="Calibri"/>
                <w:i/>
                <w:color w:val="2E5C8A"/>
                <w:sz w:val="14"/>
              </w:rPr>
              <w:t>Source: Retails.xlsx › Export › Initial Promised Delivery date, Booking Date and Time</w:t>
            </w:r>
          </w:p>
        </w:tc>
        <w:tc>
          <w:tcPr>
            <w:tcW w:type="dxa" w:w="480"/>
            <w:tcW w:w="480" w:type="dxa"/>
          </w:tcPr>
          <w:p>
            <w:pPr>
              <w:spacing w:after="20" w:before="20"/>
              <w:jc w:val="center"/>
            </w:pPr>
            <w:r/>
            <w:r>
              <w:rPr>
                <w:rFonts w:ascii="Calibri" w:hAnsi="Calibri"/>
                <w:b w:val="0"/>
                <w:i w:val="0"/>
                <w:sz w:val="16"/>
              </w:rPr>
              <w:t>1.0</w:t>
            </w:r>
          </w:p>
        </w:tc>
        <w:tc>
          <w:tcPr>
            <w:tcW w:type="dxa" w:w="560"/>
            <w:tcW w:w="560" w:type="dxa"/>
          </w:tcPr>
          <w:p>
            <w:pPr>
              <w:spacing w:after="20" w:before="20"/>
              <w:jc w:val="center"/>
            </w:pPr>
            <w:r/>
            <w:r>
              <w:rPr>
                <w:rFonts w:ascii="Calibri" w:hAnsi="Calibri"/>
                <w:b w:val="0"/>
                <w:i w:val="0"/>
                <w:sz w:val="16"/>
              </w:rPr>
              <w:t>0%</w:t>
            </w:r>
          </w:p>
        </w:tc>
        <w:tc>
          <w:tcPr>
            <w:tcW w:type="dxa" w:w="560"/>
            <w:tcW w:w="560" w:type="dxa"/>
          </w:tcPr>
          <w:p>
            <w:pPr>
              <w:spacing w:after="20" w:before="20"/>
              <w:jc w:val="center"/>
            </w:pPr>
            <w:r/>
            <w:r>
              <w:rPr>
                <w:rFonts w:ascii="Calibri" w:hAnsi="Calibri"/>
                <w:b/>
                <w:i w:val="0"/>
                <w:sz w:val="16"/>
              </w:rPr>
              <w:t>0.0</w:t>
            </w:r>
          </w:p>
        </w:tc>
        <w:tc>
          <w:tcPr>
            <w:tcW w:type="dxa" w:w="3318"/>
            <w:tcW w:w="3318" w:type="dxa"/>
            <w:shd w:val="clear" w:color="auto" w:fill="FFC7CE"/>
          </w:tcPr>
          <w:p>
            <w:pPr>
              <w:spacing w:after="20" w:before="20"/>
            </w:pPr>
            <w:r/>
            <w:r>
              <w:rPr>
                <w:rFonts w:ascii="Calibri" w:hAnsi="Calibri"/>
                <w:b w:val="0"/>
                <w:i w:val="0"/>
                <w:sz w:val="16"/>
              </w:rPr>
              <w:t>Red — commitment date never recorded, so slippage cannot be measured</w:t>
            </w:r>
          </w:p>
        </w:tc>
      </w:tr>
      <w:tr>
        <w:tc>
          <w:tcPr>
            <w:tcW w:type="dxa" w:w="15638"/>
            <w:gridSpan w:val="9"/>
            <w:shd w:val="clear" w:color="auto" w:fill="DCE6F1"/>
          </w:tcPr>
          <w:p>
            <w:pPr>
              <w:spacing w:after="20" w:before="20"/>
            </w:pPr>
            <w:r/>
            <w:r>
              <w:rPr>
                <w:rFonts w:ascii="Calibri" w:hAnsi="Calibri"/>
                <w:b/>
                <w:i w:val="0"/>
                <w:color w:val="1F3864"/>
                <w:sz w:val="18"/>
              </w:rPr>
              <w:t>H. Systems and process compliance  —  weightage 5  (scored 4.0, achievement 18.0%)</w:t>
            </w:r>
          </w:p>
        </w:tc>
      </w:tr>
      <w:tr>
        <w:tc>
          <w:tcPr>
            <w:tcW w:type="dxa" w:w="520"/>
            <w:tcW w:w="520" w:type="dxa"/>
          </w:tcPr>
          <w:p>
            <w:pPr>
              <w:spacing w:after="20" w:before="20"/>
              <w:jc w:val="center"/>
            </w:pPr>
            <w:r/>
            <w:r>
              <w:rPr>
                <w:rFonts w:ascii="Calibri" w:hAnsi="Calibri"/>
                <w:b/>
                <w:i w:val="0"/>
                <w:sz w:val="16"/>
              </w:rPr>
              <w:t>8.1</w:t>
            </w:r>
          </w:p>
        </w:tc>
        <w:tc>
          <w:tcPr>
            <w:tcW w:type="dxa" w:w="1950"/>
            <w:tcW w:w="1950" w:type="dxa"/>
          </w:tcPr>
          <w:p>
            <w:pPr>
              <w:spacing w:after="20" w:before="20"/>
            </w:pPr>
            <w:r/>
            <w:r>
              <w:rPr>
                <w:rFonts w:ascii="Calibri" w:hAnsi="Calibri"/>
                <w:b w:val="0"/>
                <w:i w:val="0"/>
                <w:sz w:val="16"/>
              </w:rPr>
              <w:t>DMS data hygiene</w:t>
            </w:r>
          </w:p>
        </w:tc>
        <w:tc>
          <w:tcPr>
            <w:tcW w:type="dxa" w:w="2850"/>
            <w:tcW w:w="2850" w:type="dxa"/>
          </w:tcPr>
          <w:p>
            <w:pPr>
              <w:spacing w:after="20" w:before="20"/>
            </w:pPr>
            <w:r/>
            <w:r>
              <w:rPr>
                <w:rFonts w:ascii="Calibri" w:hAnsi="Calibri"/>
                <w:b w:val="0"/>
                <w:i w:val="0"/>
                <w:sz w:val="16"/>
              </w:rPr>
              <w:t>Mandatory and qualification fields populated across all extracts</w:t>
            </w:r>
          </w:p>
        </w:tc>
        <w:tc>
          <w:tcPr>
            <w:tcW w:type="dxa" w:w="2250"/>
            <w:tcW w:w="2250" w:type="dxa"/>
          </w:tcPr>
          <w:p>
            <w:pPr>
              <w:spacing w:after="20" w:before="20"/>
            </w:pPr>
            <w:r/>
            <w:r>
              <w:rPr>
                <w:rFonts w:ascii="Calibri" w:hAnsi="Calibri"/>
                <w:b w:val="0"/>
                <w:i w:val="0"/>
                <w:sz w:val="16"/>
              </w:rPr>
              <w:t>All mandatory fields populated</w:t>
            </w:r>
          </w:p>
        </w:tc>
        <w:tc>
          <w:tcPr>
            <w:tcW w:type="dxa" w:w="3150"/>
            <w:tcW w:w="3150" w:type="dxa"/>
          </w:tcPr>
          <w:p>
            <w:pPr>
              <w:spacing w:after="20" w:before="20"/>
            </w:pPr>
            <w:r/>
            <w:r>
              <w:rPr>
                <w:rFonts w:ascii="Calibri" w:hAnsi="Calibri"/>
                <w:b w:val="0"/>
                <w:i w:val="0"/>
                <w:sz w:val="16"/>
              </w:rPr>
              <w:t>TD Vehicle Name blank 100.0%; RSA Scheme Reg ID blank 100.0%; Total Accessories Amount blank 100.0%; Initial Promised Delivery date blank 100.0%; Enquiry Sub Source blank 98.2%</w:t>
            </w:r>
          </w:p>
          <w:p>
            <w:pPr>
              <w:spacing w:after="20"/>
            </w:pPr>
            <w:r>
              <w:rPr>
                <w:rFonts w:ascii="Calibri" w:hAnsi="Calibri"/>
                <w:i/>
                <w:color w:val="2E5C8A"/>
                <w:sz w:val="14"/>
              </w:rPr>
              <w:t>Source: Enquiry.xlsx › FETB_EDP_v1_1; Test Drive.xlsx › FETB_EDP_v1_1; Retails.xlsx › Export</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i w:val="0"/>
                <w:sz w:val="16"/>
              </w:rPr>
              <w:t>0.4</w:t>
            </w:r>
          </w:p>
        </w:tc>
        <w:tc>
          <w:tcPr>
            <w:tcW w:type="dxa" w:w="3318"/>
            <w:tcW w:w="3318" w:type="dxa"/>
            <w:shd w:val="clear" w:color="auto" w:fill="FFC7CE"/>
          </w:tcPr>
          <w:p>
            <w:pPr>
              <w:spacing w:after="20" w:before="20"/>
            </w:pPr>
            <w:r/>
            <w:r>
              <w:rPr>
                <w:rFonts w:ascii="Calibri" w:hAnsi="Calibri"/>
                <w:b w:val="0"/>
                <w:i w:val="0"/>
                <w:sz w:val="16"/>
              </w:rPr>
              <w:t>Red — qualification fields not being filled</w:t>
            </w:r>
          </w:p>
        </w:tc>
      </w:tr>
      <w:tr>
        <w:tc>
          <w:tcPr>
            <w:tcW w:type="dxa" w:w="520"/>
            <w:tcW w:w="520" w:type="dxa"/>
            <w:shd w:val="clear" w:color="auto" w:fill="F2F5FA"/>
          </w:tcPr>
          <w:p>
            <w:pPr>
              <w:spacing w:after="20" w:before="20"/>
              <w:jc w:val="center"/>
            </w:pPr>
            <w:r/>
            <w:r>
              <w:rPr>
                <w:rFonts w:ascii="Calibri" w:hAnsi="Calibri"/>
                <w:b/>
                <w:i w:val="0"/>
                <w:sz w:val="16"/>
              </w:rPr>
              <w:t>8.2</w:t>
            </w:r>
          </w:p>
        </w:tc>
        <w:tc>
          <w:tcPr>
            <w:tcW w:type="dxa" w:w="1950"/>
            <w:tcW w:w="1950" w:type="dxa"/>
            <w:shd w:val="clear" w:color="auto" w:fill="F2F5FA"/>
          </w:tcPr>
          <w:p>
            <w:pPr>
              <w:spacing w:after="20" w:before="20"/>
            </w:pPr>
            <w:r/>
            <w:r>
              <w:rPr>
                <w:rFonts w:ascii="Calibri" w:hAnsi="Calibri"/>
                <w:b w:val="0"/>
                <w:i w:val="0"/>
                <w:sz w:val="16"/>
              </w:rPr>
              <w:t>Follow-up adherence</w:t>
            </w:r>
          </w:p>
        </w:tc>
        <w:tc>
          <w:tcPr>
            <w:tcW w:type="dxa" w:w="2850"/>
            <w:tcW w:w="2850" w:type="dxa"/>
            <w:shd w:val="clear" w:color="auto" w:fill="F2F5FA"/>
          </w:tcPr>
          <w:p>
            <w:pPr>
              <w:spacing w:after="20" w:before="20"/>
            </w:pPr>
            <w:r/>
            <w:r>
              <w:rPr>
                <w:rFonts w:ascii="Calibri" w:hAnsi="Calibri"/>
                <w:b w:val="0"/>
                <w:i w:val="0"/>
                <w:sz w:val="16"/>
              </w:rPr>
              <w:t>Follow-ups completed against the follow-up calendar</w:t>
            </w:r>
          </w:p>
        </w:tc>
        <w:tc>
          <w:tcPr>
            <w:tcW w:type="dxa" w:w="2250"/>
            <w:tcW w:w="2250" w:type="dxa"/>
            <w:shd w:val="clear" w:color="auto" w:fill="F2F5FA"/>
          </w:tcPr>
          <w:p>
            <w:pPr>
              <w:spacing w:after="20" w:before="20"/>
            </w:pPr>
            <w:r/>
            <w:r>
              <w:rPr>
                <w:rFonts w:ascii="Calibri" w:hAnsi="Calibri"/>
                <w:b w:val="0"/>
                <w:i w:val="0"/>
                <w:sz w:val="16"/>
              </w:rPr>
              <w:t>No more than 10% of enquiries untouched</w:t>
            </w:r>
          </w:p>
        </w:tc>
        <w:tc>
          <w:tcPr>
            <w:tcW w:type="dxa" w:w="3150"/>
            <w:tcW w:w="3150" w:type="dxa"/>
            <w:shd w:val="clear" w:color="auto" w:fill="F2F5FA"/>
          </w:tcPr>
          <w:p>
            <w:pPr>
              <w:spacing w:after="20" w:before="20"/>
            </w:pPr>
            <w:r/>
            <w:r>
              <w:rPr>
                <w:rFonts w:ascii="Calibri" w:hAnsi="Calibri"/>
                <w:b w:val="0"/>
                <w:i w:val="0"/>
                <w:sz w:val="16"/>
              </w:rPr>
              <w:t>275 enquiries (62.4%) with zero follow-up; 71.7% with no next planned date</w:t>
            </w:r>
          </w:p>
          <w:p>
            <w:pPr>
              <w:spacing w:after="20"/>
            </w:pPr>
            <w:r>
              <w:rPr>
                <w:rFonts w:ascii="Calibri" w:hAnsi="Calibri"/>
                <w:i/>
                <w:color w:val="2E5C8A"/>
                <w:sz w:val="14"/>
              </w:rPr>
              <w:t>Source: Enquiry.xlsx › FETB_EDP_v1_1 › Completed Followup Count, Next Planned Followup</w:t>
            </w:r>
          </w:p>
        </w:tc>
        <w:tc>
          <w:tcPr>
            <w:tcW w:type="dxa" w:w="480"/>
            <w:tcW w:w="480" w:type="dxa"/>
            <w:shd w:val="clear" w:color="auto" w:fill="F2F5FA"/>
          </w:tcPr>
          <w:p>
            <w:pPr>
              <w:spacing w:after="20" w:before="20"/>
              <w:jc w:val="center"/>
            </w:pPr>
            <w:r/>
            <w:r>
              <w:rPr>
                <w:rFonts w:ascii="Calibri" w:hAnsi="Calibri"/>
                <w:b w:val="0"/>
                <w:i w:val="0"/>
                <w:sz w:val="16"/>
              </w:rPr>
              <w:t>2.0</w:t>
            </w:r>
          </w:p>
        </w:tc>
        <w:tc>
          <w:tcPr>
            <w:tcW w:type="dxa" w:w="560"/>
            <w:tcW w:w="560" w:type="dxa"/>
            <w:shd w:val="clear" w:color="auto" w:fill="F2F5FA"/>
          </w:tcPr>
          <w:p>
            <w:pPr>
              <w:spacing w:after="20" w:before="20"/>
              <w:jc w:val="center"/>
            </w:pPr>
            <w:r/>
            <w:r>
              <w:rPr>
                <w:rFonts w:ascii="Calibri" w:hAnsi="Calibri"/>
                <w:b w:val="0"/>
                <w:i w:val="0"/>
                <w:sz w:val="16"/>
              </w:rPr>
              <w:t>16%</w:t>
            </w:r>
          </w:p>
        </w:tc>
        <w:tc>
          <w:tcPr>
            <w:tcW w:type="dxa" w:w="560"/>
            <w:tcW w:w="560" w:type="dxa"/>
            <w:shd w:val="clear" w:color="auto" w:fill="F2F5FA"/>
          </w:tcPr>
          <w:p>
            <w:pPr>
              <w:spacing w:after="20" w:before="20"/>
              <w:jc w:val="center"/>
            </w:pPr>
            <w:r/>
            <w:r>
              <w:rPr>
                <w:rFonts w:ascii="Calibri" w:hAnsi="Calibri"/>
                <w:b/>
                <w:i w:val="0"/>
                <w:sz w:val="16"/>
              </w:rPr>
              <w:t>0.3</w:t>
            </w:r>
          </w:p>
        </w:tc>
        <w:tc>
          <w:tcPr>
            <w:tcW w:type="dxa" w:w="3318"/>
            <w:tcW w:w="3318" w:type="dxa"/>
            <w:shd w:val="clear" w:color="auto" w:fill="F2F5FA"/>
            <w:shd w:val="clear" w:color="auto" w:fill="FFC7CE"/>
          </w:tcPr>
          <w:p>
            <w:pPr>
              <w:spacing w:after="20" w:before="20"/>
            </w:pPr>
            <w:r/>
            <w:r>
              <w:rPr>
                <w:rFonts w:ascii="Calibri" w:hAnsi="Calibri"/>
                <w:b w:val="0"/>
                <w:i w:val="0"/>
                <w:sz w:val="16"/>
              </w:rPr>
              <w:t>Red — follow-up discipline below norm</w:t>
            </w:r>
          </w:p>
        </w:tc>
      </w:tr>
      <w:tr>
        <w:tc>
          <w:tcPr>
            <w:tcW w:type="dxa" w:w="520"/>
            <w:tcW w:w="520" w:type="dxa"/>
          </w:tcPr>
          <w:p>
            <w:pPr>
              <w:spacing w:after="20" w:before="20"/>
              <w:jc w:val="center"/>
            </w:pPr>
            <w:r/>
            <w:r>
              <w:rPr>
                <w:rFonts w:ascii="Calibri" w:hAnsi="Calibri"/>
                <w:b/>
                <w:i w:val="0"/>
                <w:sz w:val="16"/>
              </w:rPr>
              <w:t>8.3</w:t>
            </w:r>
          </w:p>
        </w:tc>
        <w:tc>
          <w:tcPr>
            <w:tcW w:type="dxa" w:w="1950"/>
            <w:tcW w:w="1950" w:type="dxa"/>
          </w:tcPr>
          <w:p>
            <w:pPr>
              <w:spacing w:after="20" w:before="20"/>
            </w:pPr>
            <w:r/>
            <w:r>
              <w:rPr>
                <w:rFonts w:ascii="Calibri" w:hAnsi="Calibri"/>
                <w:b w:val="0"/>
                <w:i w:val="0"/>
                <w:sz w:val="16"/>
              </w:rPr>
              <w:t>Closure of previous audit findings</w:t>
            </w:r>
          </w:p>
        </w:tc>
        <w:tc>
          <w:tcPr>
            <w:tcW w:type="dxa" w:w="2850"/>
            <w:tcW w:w="2850" w:type="dxa"/>
          </w:tcPr>
          <w:p>
            <w:pPr>
              <w:spacing w:after="20" w:before="20"/>
            </w:pPr>
            <w:r/>
            <w:r>
              <w:rPr>
                <w:rFonts w:ascii="Calibri" w:hAnsi="Calibri"/>
                <w:b w:val="0"/>
                <w:i w:val="0"/>
                <w:sz w:val="16"/>
              </w:rPr>
              <w:t>Prior non-compliances and their corrective actions</w:t>
            </w:r>
          </w:p>
        </w:tc>
        <w:tc>
          <w:tcPr>
            <w:tcW w:type="dxa" w:w="2250"/>
            <w:tcW w:w="2250" w:type="dxa"/>
          </w:tcPr>
          <w:p>
            <w:pPr>
              <w:spacing w:after="20" w:before="20"/>
            </w:pPr>
            <w:r/>
            <w:r>
              <w:rPr>
                <w:rFonts w:ascii="Calibri" w:hAnsi="Calibri"/>
                <w:b w:val="0"/>
                <w:i w:val="0"/>
                <w:sz w:val="16"/>
              </w:rPr>
              <w:t>100% closed within target date</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1.0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no previous audit on record</w:t>
            </w:r>
          </w:p>
        </w:tc>
      </w:tr>
      <w:tr>
        <w:tc>
          <w:tcPr>
            <w:tcW w:type="dxa" w:w="15638"/>
            <w:gridSpan w:val="9"/>
            <w:shd w:val="clear" w:color="auto" w:fill="DCE6F1"/>
          </w:tcPr>
          <w:p>
            <w:pPr>
              <w:spacing w:after="20" w:before="20"/>
            </w:pPr>
            <w:r/>
            <w:r>
              <w:rPr>
                <w:rFonts w:ascii="Calibri" w:hAnsi="Calibri"/>
                <w:b/>
                <w:i w:val="0"/>
                <w:color w:val="1F3864"/>
                <w:sz w:val="18"/>
              </w:rPr>
              <w:t>I. Demo fleet traceability  —  weightage 2  (scored 2.0, achievement 0.0%)</w:t>
            </w:r>
          </w:p>
        </w:tc>
      </w:tr>
      <w:tr>
        <w:tc>
          <w:tcPr>
            <w:tcW w:type="dxa" w:w="520"/>
            <w:tcW w:w="520" w:type="dxa"/>
          </w:tcPr>
          <w:p>
            <w:pPr>
              <w:spacing w:after="20" w:before="20"/>
              <w:jc w:val="center"/>
            </w:pPr>
            <w:r/>
            <w:r>
              <w:rPr>
                <w:rFonts w:ascii="Calibri" w:hAnsi="Calibri"/>
                <w:b/>
                <w:i w:val="0"/>
                <w:sz w:val="16"/>
              </w:rPr>
              <w:t>9.1</w:t>
            </w:r>
          </w:p>
        </w:tc>
        <w:tc>
          <w:tcPr>
            <w:tcW w:type="dxa" w:w="1950"/>
            <w:tcW w:w="1950" w:type="dxa"/>
          </w:tcPr>
          <w:p>
            <w:pPr>
              <w:spacing w:after="20" w:before="20"/>
            </w:pPr>
            <w:r/>
            <w:r>
              <w:rPr>
                <w:rFonts w:ascii="Calibri" w:hAnsi="Calibri"/>
                <w:b w:val="0"/>
                <w:i w:val="0"/>
                <w:sz w:val="16"/>
              </w:rPr>
              <w:t>Test drive vehicle recorded</w:t>
            </w:r>
          </w:p>
        </w:tc>
        <w:tc>
          <w:tcPr>
            <w:tcW w:type="dxa" w:w="2850"/>
            <w:tcW w:w="2850" w:type="dxa"/>
          </w:tcPr>
          <w:p>
            <w:pPr>
              <w:spacing w:after="20" w:before="20"/>
            </w:pPr>
            <w:r/>
            <w:r>
              <w:rPr>
                <w:rFonts w:ascii="Calibri" w:hAnsi="Calibri"/>
                <w:b w:val="0"/>
                <w:i w:val="0"/>
                <w:sz w:val="16"/>
              </w:rPr>
              <w:t>Every test drive record names the vehicle used</w:t>
            </w:r>
          </w:p>
        </w:tc>
        <w:tc>
          <w:tcPr>
            <w:tcW w:type="dxa" w:w="2250"/>
            <w:tcW w:w="2250" w:type="dxa"/>
          </w:tcPr>
          <w:p>
            <w:pPr>
              <w:spacing w:after="20" w:before="20"/>
            </w:pPr>
            <w:r/>
            <w:r>
              <w:rPr>
                <w:rFonts w:ascii="Calibri" w:hAnsi="Calibri"/>
                <w:b w:val="0"/>
                <w:i w:val="0"/>
                <w:sz w:val="16"/>
              </w:rPr>
              <w:t>100% of test drives name a vehicle</w:t>
            </w:r>
          </w:p>
        </w:tc>
        <w:tc>
          <w:tcPr>
            <w:tcW w:type="dxa" w:w="3150"/>
            <w:tcW w:w="3150" w:type="dxa"/>
          </w:tcPr>
          <w:p>
            <w:pPr>
              <w:spacing w:after="20" w:before="20"/>
            </w:pPr>
            <w:r/>
            <w:r>
              <w:rPr>
                <w:rFonts w:ascii="Calibri" w:hAnsi="Calibri"/>
                <w:b w:val="0"/>
                <w:i w:val="0"/>
                <w:sz w:val="16"/>
              </w:rPr>
              <w:t>Vehicle named on 0.0% of test drives; 1 branch(es) with no identified demo vehicle: CHIKHALI</w:t>
            </w:r>
          </w:p>
          <w:p>
            <w:pPr>
              <w:spacing w:after="20"/>
            </w:pPr>
            <w:r>
              <w:rPr>
                <w:rFonts w:ascii="Calibri" w:hAnsi="Calibri"/>
                <w:i/>
                <w:color w:val="2E5C8A"/>
                <w:sz w:val="14"/>
              </w:rPr>
              <w:t>Source: Test Drive.xlsx › FETB_EDP_v1_1 › TD Vehicle Name</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0%</w:t>
            </w:r>
          </w:p>
        </w:tc>
        <w:tc>
          <w:tcPr>
            <w:tcW w:type="dxa" w:w="560"/>
            <w:tcW w:w="560" w:type="dxa"/>
          </w:tcPr>
          <w:p>
            <w:pPr>
              <w:spacing w:after="20" w:before="20"/>
              <w:jc w:val="center"/>
            </w:pPr>
            <w:r/>
            <w:r>
              <w:rPr>
                <w:rFonts w:ascii="Calibri" w:hAnsi="Calibri"/>
                <w:b/>
                <w:i w:val="0"/>
                <w:sz w:val="16"/>
              </w:rPr>
              <w:t>0.0</w:t>
            </w:r>
          </w:p>
        </w:tc>
        <w:tc>
          <w:tcPr>
            <w:tcW w:type="dxa" w:w="3318"/>
            <w:tcW w:w="3318" w:type="dxa"/>
            <w:shd w:val="clear" w:color="auto" w:fill="FFC7CE"/>
          </w:tcPr>
          <w:p>
            <w:pPr>
              <w:spacing w:after="20" w:before="20"/>
            </w:pPr>
            <w:r/>
            <w:r>
              <w:rPr>
                <w:rFonts w:ascii="Calibri" w:hAnsi="Calibri"/>
                <w:b w:val="0"/>
                <w:i w:val="0"/>
                <w:sz w:val="16"/>
              </w:rPr>
              <w:t>Red — demo fleet untraceable at some branches</w:t>
            </w:r>
          </w:p>
        </w:tc>
      </w:tr>
      <w:tr>
        <w:tc>
          <w:tcPr>
            <w:tcW w:type="dxa" w:w="15638"/>
            <w:gridSpan w:val="9"/>
            <w:shd w:val="clear" w:color="auto" w:fill="DCE6F1"/>
          </w:tcPr>
          <w:p>
            <w:pPr>
              <w:spacing w:after="20" w:before="20"/>
            </w:pPr>
            <w:r/>
            <w:r>
              <w:rPr>
                <w:rFonts w:ascii="Calibri" w:hAnsi="Calibri"/>
                <w:b/>
                <w:i w:val="0"/>
                <w:color w:val="1F3864"/>
                <w:sz w:val="18"/>
              </w:rPr>
              <w:t>J. Physical Audit Sheet  —  weightage 10  (not scored)</w:t>
            </w:r>
          </w:p>
        </w:tc>
      </w:tr>
      <w:tr>
        <w:tc>
          <w:tcPr>
            <w:tcW w:type="dxa" w:w="520"/>
            <w:tcW w:w="520" w:type="dxa"/>
          </w:tcPr>
          <w:p>
            <w:pPr>
              <w:spacing w:after="20" w:before="20"/>
              <w:jc w:val="center"/>
            </w:pPr>
            <w:r/>
            <w:r>
              <w:rPr>
                <w:rFonts w:ascii="Calibri" w:hAnsi="Calibri"/>
                <w:b/>
                <w:i w:val="0"/>
                <w:sz w:val="16"/>
              </w:rPr>
              <w:t>J1</w:t>
            </w:r>
          </w:p>
        </w:tc>
        <w:tc>
          <w:tcPr>
            <w:tcW w:type="dxa" w:w="1950"/>
            <w:tcW w:w="1950" w:type="dxa"/>
          </w:tcPr>
          <w:p>
            <w:pPr>
              <w:spacing w:after="20" w:before="20"/>
            </w:pPr>
            <w:r/>
            <w:r>
              <w:rPr>
                <w:rFonts w:ascii="Calibri" w:hAnsi="Calibri"/>
                <w:b w:val="0"/>
                <w:i w:val="0"/>
                <w:sz w:val="16"/>
              </w:rPr>
              <w:t>Exterior and ambience</w:t>
            </w:r>
          </w:p>
        </w:tc>
        <w:tc>
          <w:tcPr>
            <w:tcW w:type="dxa" w:w="2850"/>
            <w:tcW w:w="2850" w:type="dxa"/>
          </w:tcPr>
          <w:p>
            <w:pPr>
              <w:spacing w:after="20" w:before="20"/>
            </w:pPr>
            <w:r/>
            <w:r>
              <w:rPr>
                <w:rFonts w:ascii="Calibri" w:hAnsi="Calibri"/>
                <w:b w:val="0"/>
                <w:i w:val="0"/>
                <w:sz w:val="16"/>
              </w:rPr>
              <w:t>Glow sign and façade branding; Approach, frontage and parking; Entrance and accessibility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0.6</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J2</w:t>
            </w:r>
          </w:p>
        </w:tc>
        <w:tc>
          <w:tcPr>
            <w:tcW w:type="dxa" w:w="1950"/>
            <w:tcW w:w="1950" w:type="dxa"/>
            <w:shd w:val="clear" w:color="auto" w:fill="F2F5FA"/>
          </w:tcPr>
          <w:p>
            <w:pPr>
              <w:spacing w:after="20" w:before="20"/>
            </w:pPr>
            <w:r/>
            <w:r>
              <w:rPr>
                <w:rFonts w:ascii="Calibri" w:hAnsi="Calibri"/>
                <w:b w:val="0"/>
                <w:i w:val="0"/>
                <w:sz w:val="16"/>
              </w:rPr>
              <w:t>Display vehicles</w:t>
            </w:r>
          </w:p>
        </w:tc>
        <w:tc>
          <w:tcPr>
            <w:tcW w:type="dxa" w:w="2850"/>
            <w:tcW w:w="2850" w:type="dxa"/>
            <w:shd w:val="clear" w:color="auto" w:fill="F2F5FA"/>
          </w:tcPr>
          <w:p>
            <w:pPr>
              <w:spacing w:after="20" w:before="20"/>
            </w:pPr>
            <w:r/>
            <w:r>
              <w:rPr>
                <w:rFonts w:ascii="Calibri" w:hAnsi="Calibri"/>
                <w:b w:val="0"/>
                <w:i w:val="0"/>
                <w:sz w:val="16"/>
              </w:rPr>
              <w:t>Display vehicle count against norm; Model and variant coverage; Display vehicle cleanliness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1.4</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tcPr>
          <w:p>
            <w:pPr>
              <w:spacing w:after="20" w:before="20"/>
              <w:jc w:val="center"/>
            </w:pPr>
            <w:r/>
            <w:r>
              <w:rPr>
                <w:rFonts w:ascii="Calibri" w:hAnsi="Calibri"/>
                <w:b/>
                <w:i w:val="0"/>
                <w:sz w:val="16"/>
              </w:rPr>
              <w:t>J3</w:t>
            </w:r>
          </w:p>
        </w:tc>
        <w:tc>
          <w:tcPr>
            <w:tcW w:type="dxa" w:w="1950"/>
            <w:tcW w:w="1950" w:type="dxa"/>
          </w:tcPr>
          <w:p>
            <w:pPr>
              <w:spacing w:after="20" w:before="20"/>
            </w:pPr>
            <w:r/>
            <w:r>
              <w:rPr>
                <w:rFonts w:ascii="Calibri" w:hAnsi="Calibri"/>
                <w:b w:val="0"/>
                <w:i w:val="0"/>
                <w:sz w:val="16"/>
              </w:rPr>
              <w:t>Demo and test drive fleet</w:t>
            </w:r>
          </w:p>
        </w:tc>
        <w:tc>
          <w:tcPr>
            <w:tcW w:type="dxa" w:w="2850"/>
            <w:tcW w:w="2850" w:type="dxa"/>
          </w:tcPr>
          <w:p>
            <w:pPr>
              <w:spacing w:after="20" w:before="20"/>
            </w:pPr>
            <w:r/>
            <w:r>
              <w:rPr>
                <w:rFonts w:ascii="Calibri" w:hAnsi="Calibri"/>
                <w:b w:val="0"/>
                <w:i w:val="0"/>
                <w:sz w:val="16"/>
              </w:rPr>
              <w:t>Demo vehicle availability per model; Statutory documents valid; Demo vehicle cleanliness and condition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0.9</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J4</w:t>
            </w:r>
          </w:p>
        </w:tc>
        <w:tc>
          <w:tcPr>
            <w:tcW w:type="dxa" w:w="1950"/>
            <w:tcW w:w="1950" w:type="dxa"/>
            <w:shd w:val="clear" w:color="auto" w:fill="F2F5FA"/>
          </w:tcPr>
          <w:p>
            <w:pPr>
              <w:spacing w:after="20" w:before="20"/>
            </w:pPr>
            <w:r/>
            <w:r>
              <w:rPr>
                <w:rFonts w:ascii="Calibri" w:hAnsi="Calibri"/>
                <w:b w:val="0"/>
                <w:i w:val="0"/>
                <w:sz w:val="16"/>
              </w:rPr>
              <w:t>Uniform and grooming</w:t>
            </w:r>
          </w:p>
        </w:tc>
        <w:tc>
          <w:tcPr>
            <w:tcW w:type="dxa" w:w="2850"/>
            <w:tcW w:w="2850" w:type="dxa"/>
            <w:shd w:val="clear" w:color="auto" w:fill="F2F5FA"/>
          </w:tcPr>
          <w:p>
            <w:pPr>
              <w:spacing w:after="20" w:before="20"/>
            </w:pPr>
            <w:r/>
            <w:r>
              <w:rPr>
                <w:rFonts w:ascii="Calibri" w:hAnsi="Calibri"/>
                <w:b w:val="0"/>
                <w:i w:val="0"/>
                <w:sz w:val="16"/>
              </w:rPr>
              <w:t>Sales consultants in prescribed uniform; Name badge and identity card; Grooming standard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0.6</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tcPr>
          <w:p>
            <w:pPr>
              <w:spacing w:after="20" w:before="20"/>
              <w:jc w:val="center"/>
            </w:pPr>
            <w:r/>
            <w:r>
              <w:rPr>
                <w:rFonts w:ascii="Calibri" w:hAnsi="Calibri"/>
                <w:b/>
                <w:i w:val="0"/>
                <w:sz w:val="16"/>
              </w:rPr>
              <w:t>J5</w:t>
            </w:r>
          </w:p>
        </w:tc>
        <w:tc>
          <w:tcPr>
            <w:tcW w:type="dxa" w:w="1950"/>
            <w:tcW w:w="1950" w:type="dxa"/>
          </w:tcPr>
          <w:p>
            <w:pPr>
              <w:spacing w:after="20" w:before="20"/>
            </w:pPr>
            <w:r/>
            <w:r>
              <w:rPr>
                <w:rFonts w:ascii="Calibri" w:hAnsi="Calibri"/>
                <w:b w:val="0"/>
                <w:i w:val="0"/>
                <w:sz w:val="16"/>
              </w:rPr>
              <w:t>Walk-in register</w:t>
            </w:r>
          </w:p>
        </w:tc>
        <w:tc>
          <w:tcPr>
            <w:tcW w:type="dxa" w:w="2850"/>
            <w:tcW w:w="2850" w:type="dxa"/>
          </w:tcPr>
          <w:p>
            <w:pPr>
              <w:spacing w:after="20" w:before="20"/>
            </w:pPr>
            <w:r/>
            <w:r>
              <w:rPr>
                <w:rFonts w:ascii="Calibri" w:hAnsi="Calibri"/>
                <w:b w:val="0"/>
                <w:i w:val="0"/>
                <w:sz w:val="16"/>
              </w:rPr>
              <w:t>Walk-in register maintained at entrance; Register fields complete; Register reconciled to DMS same day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0.9</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J6</w:t>
            </w:r>
          </w:p>
        </w:tc>
        <w:tc>
          <w:tcPr>
            <w:tcW w:type="dxa" w:w="1950"/>
            <w:tcW w:w="1950" w:type="dxa"/>
            <w:shd w:val="clear" w:color="auto" w:fill="F2F5FA"/>
          </w:tcPr>
          <w:p>
            <w:pPr>
              <w:spacing w:after="20" w:before="20"/>
            </w:pPr>
            <w:r/>
            <w:r>
              <w:rPr>
                <w:rFonts w:ascii="Calibri" w:hAnsi="Calibri"/>
                <w:b w:val="0"/>
                <w:i w:val="0"/>
                <w:sz w:val="16"/>
              </w:rPr>
              <w:t>Follow-up discipline</w:t>
            </w:r>
          </w:p>
        </w:tc>
        <w:tc>
          <w:tcPr>
            <w:tcW w:type="dxa" w:w="2850"/>
            <w:tcW w:w="2850" w:type="dxa"/>
            <w:shd w:val="clear" w:color="auto" w:fill="F2F5FA"/>
          </w:tcPr>
          <w:p>
            <w:pPr>
              <w:spacing w:after="20" w:before="20"/>
            </w:pPr>
            <w:r/>
            <w:r>
              <w:rPr>
                <w:rFonts w:ascii="Calibri" w:hAnsi="Calibri"/>
                <w:b w:val="0"/>
                <w:i w:val="0"/>
                <w:sz w:val="16"/>
              </w:rPr>
              <w:t>Follow-up calendar in use; Call remarks are substantive; Morning meeting held and recorded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0.8</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tcPr>
          <w:p>
            <w:pPr>
              <w:spacing w:after="20" w:before="20"/>
              <w:jc w:val="center"/>
            </w:pPr>
            <w:r/>
            <w:r>
              <w:rPr>
                <w:rFonts w:ascii="Calibri" w:hAnsi="Calibri"/>
                <w:b/>
                <w:i w:val="0"/>
                <w:sz w:val="16"/>
              </w:rPr>
              <w:t>J7</w:t>
            </w:r>
          </w:p>
        </w:tc>
        <w:tc>
          <w:tcPr>
            <w:tcW w:type="dxa" w:w="1950"/>
            <w:tcW w:w="1950" w:type="dxa"/>
          </w:tcPr>
          <w:p>
            <w:pPr>
              <w:spacing w:after="20" w:before="20"/>
            </w:pPr>
            <w:r/>
            <w:r>
              <w:rPr>
                <w:rFonts w:ascii="Calibri" w:hAnsi="Calibri"/>
                <w:b w:val="0"/>
                <w:i w:val="0"/>
                <w:sz w:val="16"/>
              </w:rPr>
              <w:t>Sales consultant kit</w:t>
            </w:r>
          </w:p>
        </w:tc>
        <w:tc>
          <w:tcPr>
            <w:tcW w:type="dxa" w:w="2850"/>
            <w:tcW w:w="2850" w:type="dxa"/>
          </w:tcPr>
          <w:p>
            <w:pPr>
              <w:spacing w:after="20" w:before="20"/>
            </w:pPr>
            <w:r/>
            <w:r>
              <w:rPr>
                <w:rFonts w:ascii="Calibri" w:hAnsi="Calibri"/>
                <w:b w:val="0"/>
                <w:i w:val="0"/>
                <w:sz w:val="16"/>
              </w:rPr>
              <w:t>Current price list carried; Product brochures in stock; Finance scheme sheet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1.3</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J8</w:t>
            </w:r>
          </w:p>
        </w:tc>
        <w:tc>
          <w:tcPr>
            <w:tcW w:type="dxa" w:w="1950"/>
            <w:tcW w:w="1950" w:type="dxa"/>
            <w:shd w:val="clear" w:color="auto" w:fill="F2F5FA"/>
          </w:tcPr>
          <w:p>
            <w:pPr>
              <w:spacing w:after="20" w:before="20"/>
            </w:pPr>
            <w:r/>
            <w:r>
              <w:rPr>
                <w:rFonts w:ascii="Calibri" w:hAnsi="Calibri"/>
                <w:b w:val="0"/>
                <w:i w:val="0"/>
                <w:sz w:val="16"/>
              </w:rPr>
              <w:t>Customer amenities</w:t>
            </w:r>
          </w:p>
        </w:tc>
        <w:tc>
          <w:tcPr>
            <w:tcW w:type="dxa" w:w="2850"/>
            <w:tcW w:w="2850" w:type="dxa"/>
            <w:shd w:val="clear" w:color="auto" w:fill="F2F5FA"/>
          </w:tcPr>
          <w:p>
            <w:pPr>
              <w:spacing w:after="20" w:before="20"/>
            </w:pPr>
            <w:r/>
            <w:r>
              <w:rPr>
                <w:rFonts w:ascii="Calibri" w:hAnsi="Calibri"/>
                <w:b w:val="0"/>
                <w:i w:val="0"/>
                <w:sz w:val="16"/>
              </w:rPr>
              <w:t>Seating and lounge; Drinking water and refreshments; Washroom cleanliness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0.6</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tcPr>
          <w:p>
            <w:pPr>
              <w:spacing w:after="20" w:before="20"/>
              <w:jc w:val="center"/>
            </w:pPr>
            <w:r/>
            <w:r>
              <w:rPr>
                <w:rFonts w:ascii="Calibri" w:hAnsi="Calibri"/>
                <w:b/>
                <w:i w:val="0"/>
                <w:sz w:val="16"/>
              </w:rPr>
              <w:t>J9</w:t>
            </w:r>
          </w:p>
        </w:tc>
        <w:tc>
          <w:tcPr>
            <w:tcW w:type="dxa" w:w="1950"/>
            <w:tcW w:w="1950" w:type="dxa"/>
          </w:tcPr>
          <w:p>
            <w:pPr>
              <w:spacing w:after="20" w:before="20"/>
            </w:pPr>
            <w:r/>
            <w:r>
              <w:rPr>
                <w:rFonts w:ascii="Calibri" w:hAnsi="Calibri"/>
                <w:b w:val="0"/>
                <w:i w:val="0"/>
                <w:sz w:val="16"/>
              </w:rPr>
              <w:t>Mandatory displays</w:t>
            </w:r>
          </w:p>
        </w:tc>
        <w:tc>
          <w:tcPr>
            <w:tcW w:type="dxa" w:w="2850"/>
            <w:tcW w:w="2850" w:type="dxa"/>
          </w:tcPr>
          <w:p>
            <w:pPr>
              <w:spacing w:after="20" w:before="20"/>
            </w:pPr>
            <w:r/>
            <w:r>
              <w:rPr>
                <w:rFonts w:ascii="Calibri" w:hAnsi="Calibri"/>
                <w:b w:val="0"/>
                <w:i w:val="0"/>
                <w:sz w:val="16"/>
              </w:rPr>
              <w:t>Price list displayed publicly; SHIELD and RSA offer board; Finance scheme and EMI board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0.9</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J10</w:t>
            </w:r>
          </w:p>
        </w:tc>
        <w:tc>
          <w:tcPr>
            <w:tcW w:type="dxa" w:w="1950"/>
            <w:tcW w:w="1950" w:type="dxa"/>
            <w:shd w:val="clear" w:color="auto" w:fill="F2F5FA"/>
          </w:tcPr>
          <w:p>
            <w:pPr>
              <w:spacing w:after="20" w:before="20"/>
            </w:pPr>
            <w:r/>
            <w:r>
              <w:rPr>
                <w:rFonts w:ascii="Calibri" w:hAnsi="Calibri"/>
                <w:b w:val="0"/>
                <w:i w:val="0"/>
                <w:sz w:val="16"/>
              </w:rPr>
              <w:t>Delivery experience</w:t>
            </w:r>
          </w:p>
        </w:tc>
        <w:tc>
          <w:tcPr>
            <w:tcW w:type="dxa" w:w="2850"/>
            <w:tcW w:w="2850" w:type="dxa"/>
            <w:shd w:val="clear" w:color="auto" w:fill="F2F5FA"/>
          </w:tcPr>
          <w:p>
            <w:pPr>
              <w:spacing w:after="20" w:before="20"/>
            </w:pPr>
            <w:r/>
            <w:r>
              <w:rPr>
                <w:rFonts w:ascii="Calibri" w:hAnsi="Calibri"/>
                <w:b w:val="0"/>
                <w:i w:val="0"/>
                <w:sz w:val="16"/>
              </w:rPr>
              <w:t>Dedicated delivery bay; Ceremonial delivery setup; Delivery checklist and HOTO station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0.9</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tcPr>
          <w:p>
            <w:pPr>
              <w:spacing w:after="20" w:before="20"/>
              <w:jc w:val="center"/>
            </w:pPr>
            <w:r/>
            <w:r>
              <w:rPr>
                <w:rFonts w:ascii="Calibri" w:hAnsi="Calibri"/>
                <w:b/>
                <w:i w:val="0"/>
                <w:sz w:val="16"/>
              </w:rPr>
              <w:t>J11</w:t>
            </w:r>
          </w:p>
        </w:tc>
        <w:tc>
          <w:tcPr>
            <w:tcW w:type="dxa" w:w="1950"/>
            <w:tcW w:w="1950" w:type="dxa"/>
          </w:tcPr>
          <w:p>
            <w:pPr>
              <w:spacing w:after="20" w:before="20"/>
            </w:pPr>
            <w:r/>
            <w:r>
              <w:rPr>
                <w:rFonts w:ascii="Calibri" w:hAnsi="Calibri"/>
                <w:b w:val="0"/>
                <w:i w:val="0"/>
                <w:sz w:val="16"/>
              </w:rPr>
              <w:t>Systems and safety</w:t>
            </w:r>
          </w:p>
        </w:tc>
        <w:tc>
          <w:tcPr>
            <w:tcW w:type="dxa" w:w="2850"/>
            <w:tcW w:w="2850" w:type="dxa"/>
          </w:tcPr>
          <w:p>
            <w:pPr>
              <w:spacing w:after="20" w:before="20"/>
            </w:pPr>
            <w:r/>
            <w:r>
              <w:rPr>
                <w:rFonts w:ascii="Calibri" w:hAnsi="Calibri"/>
                <w:b w:val="0"/>
                <w:i w:val="0"/>
                <w:sz w:val="16"/>
              </w:rPr>
              <w:t>DMS terminals and tablets working; EV charger operational; Fire extinguishers and first aid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0.7</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J12</w:t>
            </w:r>
          </w:p>
        </w:tc>
        <w:tc>
          <w:tcPr>
            <w:tcW w:type="dxa" w:w="1950"/>
            <w:tcW w:w="1950" w:type="dxa"/>
            <w:shd w:val="clear" w:color="auto" w:fill="F2F5FA"/>
          </w:tcPr>
          <w:p>
            <w:pPr>
              <w:spacing w:after="20" w:before="20"/>
            </w:pPr>
            <w:r/>
            <w:r>
              <w:rPr>
                <w:rFonts w:ascii="Calibri" w:hAnsi="Calibri"/>
                <w:b w:val="0"/>
                <w:i w:val="0"/>
                <w:sz w:val="16"/>
              </w:rPr>
              <w:t>Performance visibility</w:t>
            </w:r>
          </w:p>
        </w:tc>
        <w:tc>
          <w:tcPr>
            <w:tcW w:type="dxa" w:w="2850"/>
            <w:tcW w:w="2850" w:type="dxa"/>
            <w:shd w:val="clear" w:color="auto" w:fill="F2F5FA"/>
          </w:tcPr>
          <w:p>
            <w:pPr>
              <w:spacing w:after="20" w:before="20"/>
            </w:pPr>
            <w:r/>
            <w:r>
              <w:rPr>
                <w:rFonts w:ascii="Calibri" w:hAnsi="Calibri"/>
                <w:b w:val="0"/>
                <w:i w:val="0"/>
                <w:sz w:val="16"/>
              </w:rPr>
              <w:t>Target and achievement board; Funnel board; SHIELD and RSA penetration board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0.5</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10720"/>
            <w:gridSpan w:val="5"/>
            <w:shd w:val="clear" w:color="auto" w:fill="E8E8E8"/>
          </w:tcPr>
          <w:p>
            <w:pPr>
              <w:spacing w:after="20" w:before="20"/>
              <w:jc w:val="right"/>
            </w:pPr>
            <w:r/>
            <w:r>
              <w:rPr>
                <w:rFonts w:ascii="Calibri" w:hAnsi="Calibri"/>
                <w:b/>
                <w:i w:val="0"/>
                <w:sz w:val="18"/>
              </w:rPr>
              <w:t>Total  (58.8 of 100 weightage points auditable from the data supplied)</w:t>
            </w:r>
          </w:p>
        </w:tc>
        <w:tc>
          <w:tcPr>
            <w:tcW w:type="dxa" w:w="480"/>
            <w:shd w:val="clear" w:color="auto" w:fill="E8E8E8"/>
          </w:tcPr>
          <w:p>
            <w:pPr>
              <w:spacing w:after="20" w:before="20"/>
              <w:jc w:val="center"/>
            </w:pPr>
            <w:r/>
            <w:r>
              <w:rPr>
                <w:rFonts w:ascii="Calibri" w:hAnsi="Calibri"/>
                <w:b/>
                <w:i w:val="0"/>
                <w:sz w:val="18"/>
              </w:rPr>
              <w:t>100</w:t>
            </w:r>
          </w:p>
        </w:tc>
        <w:tc>
          <w:tcPr>
            <w:tcW w:type="dxa" w:w="560"/>
            <w:shd w:val="clear" w:color="auto" w:fill="E8E8E8"/>
          </w:tcPr>
          <w:p>
            <w:pPr>
              <w:spacing w:after="20" w:before="20"/>
              <w:jc w:val="center"/>
            </w:pPr>
            <w:r/>
            <w:r>
              <w:rPr>
                <w:rFonts w:ascii="Calibri" w:hAnsi="Calibri"/>
                <w:b/>
                <w:i w:val="0"/>
                <w:sz w:val="18"/>
              </w:rPr>
              <w:t>50.2%</w:t>
            </w:r>
          </w:p>
        </w:tc>
        <w:tc>
          <w:tcPr>
            <w:tcW w:type="dxa" w:w="560"/>
            <w:shd w:val="clear" w:color="auto" w:fill="E8E8E8"/>
          </w:tcPr>
          <w:p>
            <w:pPr>
              <w:spacing w:after="20" w:before="20"/>
              <w:jc w:val="center"/>
            </w:pPr>
            <w:r/>
            <w:r>
              <w:rPr>
                <w:rFonts w:ascii="Calibri" w:hAnsi="Calibri"/>
                <w:b/>
                <w:i w:val="0"/>
                <w:sz w:val="18"/>
              </w:rPr>
              <w:t>29.5</w:t>
            </w:r>
          </w:p>
        </w:tc>
        <w:tc>
          <w:tcPr>
            <w:tcW w:type="dxa" w:w="3318"/>
            <w:shd w:val="clear" w:color="auto" w:fill="E8E8E8"/>
          </w:tcPr>
          <w:p>
            <w:pPr>
              <w:spacing w:after="20" w:before="20"/>
            </w:pPr>
            <w:r/>
            <w:r>
              <w:rPr>
                <w:rFonts w:ascii="Calibri" w:hAnsi="Calibri"/>
                <w:b/>
                <w:i w:val="0"/>
                <w:sz w:val="18"/>
              </w:rPr>
              <w:t>Sales Process Index — Red — Critical</w:t>
            </w:r>
          </w:p>
        </w:tc>
      </w:tr>
    </w:tbl>
    <w:p>
      <w:r>
        <w:br w:type="page"/>
      </w:r>
    </w:p>
    <w:p>
      <w:pPr>
        <w:spacing w:before="240" w:after="100"/>
        <w:pBdr>
          <w:bottom w:val="single" w:sz="8" w:color="1F3864" w:space="2"/>
        </w:pBdr>
      </w:pPr>
      <w:r>
        <w:rPr>
          <w:rFonts w:ascii="Calibri" w:hAnsi="Calibri"/>
          <w:b/>
          <w:color w:val="1F3864"/>
          <w:sz w:val="26"/>
        </w:rPr>
        <w:t>Section B — Process index summary by pillar</w:t>
      </w:r>
    </w:p>
    <w:tbl>
      <w:tblPr>
        <w:tblStyle w:val="TableGrid"/>
        <w:tblW w:type="auto" w:w="0"/>
        <w:tblLayout w:type="fixed"/>
        <w:tblLook w:firstColumn="1" w:firstRow="1" w:lastColumn="0" w:lastRow="0" w:noHBand="0" w:noVBand="1" w:val="04A0"/>
        <w:tblLayout w:type="fixed"/>
      </w:tblPr>
      <w:tblGrid>
        <w:gridCol w:w="700"/>
        <w:gridCol w:w="5400"/>
        <w:gridCol w:w="1700"/>
        <w:gridCol w:w="1700"/>
        <w:gridCol w:w="1700"/>
        <w:gridCol w:w="4438"/>
      </w:tblGrid>
      <w:tr>
        <w:tc>
          <w:tcPr>
            <w:tcW w:type="dxa" w:w="2606"/>
            <w:tcW w:w="700" w:type="dxa"/>
            <w:shd w:val="clear" w:color="auto" w:fill="1F3864"/>
            <w:vAlign w:val="center"/>
          </w:tcPr>
          <w:p>
            <w:pPr>
              <w:spacing w:after="20" w:before="20"/>
              <w:jc w:val="center"/>
            </w:pPr>
            <w:r/>
            <w:r>
              <w:rPr>
                <w:rFonts w:ascii="Calibri" w:hAnsi="Calibri"/>
                <w:b/>
                <w:i w:val="0"/>
                <w:color w:val="FFFFFF"/>
                <w:sz w:val="18"/>
              </w:rPr>
              <w:t>S.No</w:t>
            </w:r>
          </w:p>
        </w:tc>
        <w:tc>
          <w:tcPr>
            <w:tcW w:type="dxa" w:w="2606"/>
            <w:tcW w:w="5400" w:type="dxa"/>
            <w:shd w:val="clear" w:color="auto" w:fill="1F3864"/>
            <w:vAlign w:val="center"/>
          </w:tcPr>
          <w:p>
            <w:pPr>
              <w:spacing w:after="20" w:before="20"/>
              <w:jc w:val="center"/>
            </w:pPr>
            <w:r/>
            <w:r>
              <w:rPr>
                <w:rFonts w:ascii="Calibri" w:hAnsi="Calibri"/>
                <w:b/>
                <w:i w:val="0"/>
                <w:color w:val="FFFFFF"/>
                <w:sz w:val="18"/>
              </w:rPr>
              <w:t>Process pillar</w:t>
            </w:r>
          </w:p>
        </w:tc>
        <w:tc>
          <w:tcPr>
            <w:tcW w:type="dxa" w:w="2606"/>
            <w:tcW w:w="1700" w:type="dxa"/>
            <w:shd w:val="clear" w:color="auto" w:fill="1F3864"/>
            <w:vAlign w:val="center"/>
          </w:tcPr>
          <w:p>
            <w:pPr>
              <w:spacing w:after="20" w:before="20"/>
              <w:jc w:val="center"/>
            </w:pPr>
            <w:r/>
            <w:r>
              <w:rPr>
                <w:rFonts w:ascii="Calibri" w:hAnsi="Calibri"/>
                <w:b/>
                <w:i w:val="0"/>
                <w:color w:val="FFFFFF"/>
                <w:sz w:val="18"/>
              </w:rPr>
              <w:t>Weightage</w:t>
            </w:r>
          </w:p>
        </w:tc>
        <w:tc>
          <w:tcPr>
            <w:tcW w:type="dxa" w:w="2606"/>
            <w:tcW w:w="1700" w:type="dxa"/>
            <w:shd w:val="clear" w:color="auto" w:fill="1F3864"/>
            <w:vAlign w:val="center"/>
          </w:tcPr>
          <w:p>
            <w:pPr>
              <w:spacing w:after="20" w:before="20"/>
              <w:jc w:val="center"/>
            </w:pPr>
            <w:r/>
            <w:r>
              <w:rPr>
                <w:rFonts w:ascii="Calibri" w:hAnsi="Calibri"/>
                <w:b/>
                <w:i w:val="0"/>
                <w:color w:val="FFFFFF"/>
                <w:sz w:val="18"/>
              </w:rPr>
              <w:t>Score obtained</w:t>
            </w:r>
          </w:p>
        </w:tc>
        <w:tc>
          <w:tcPr>
            <w:tcW w:type="dxa" w:w="2606"/>
            <w:tcW w:w="1700" w:type="dxa"/>
            <w:shd w:val="clear" w:color="auto" w:fill="1F3864"/>
            <w:vAlign w:val="center"/>
          </w:tcPr>
          <w:p>
            <w:pPr>
              <w:spacing w:after="20" w:before="20"/>
              <w:jc w:val="center"/>
            </w:pPr>
            <w:r/>
            <w:r>
              <w:rPr>
                <w:rFonts w:ascii="Calibri" w:hAnsi="Calibri"/>
                <w:b/>
                <w:i w:val="0"/>
                <w:color w:val="FFFFFF"/>
                <w:sz w:val="18"/>
              </w:rPr>
              <w:t>Achievement %</w:t>
            </w:r>
          </w:p>
        </w:tc>
        <w:tc>
          <w:tcPr>
            <w:tcW w:type="dxa" w:w="2606"/>
            <w:tcW w:w="4438" w:type="dxa"/>
            <w:shd w:val="clear" w:color="auto" w:fill="1F3864"/>
            <w:vAlign w:val="center"/>
          </w:tcPr>
          <w:p>
            <w:pPr>
              <w:spacing w:after="20" w:before="20"/>
              <w:jc w:val="center"/>
            </w:pPr>
            <w:r/>
            <w:r>
              <w:rPr>
                <w:rFonts w:ascii="Calibri" w:hAnsi="Calibri"/>
                <w:b/>
                <w:i w:val="0"/>
                <w:color w:val="FFFFFF"/>
                <w:sz w:val="18"/>
              </w:rPr>
              <w:t>RAG status and key remark</w:t>
            </w:r>
          </w:p>
        </w:tc>
      </w:tr>
      <w:tr>
        <w:tc>
          <w:tcPr>
            <w:tcW w:type="dxa" w:w="700"/>
            <w:tcW w:w="700" w:type="dxa"/>
          </w:tcPr>
          <w:p>
            <w:pPr>
              <w:spacing w:after="20" w:before="20"/>
              <w:jc w:val="center"/>
            </w:pPr>
            <w:r/>
            <w:r>
              <w:rPr>
                <w:rFonts w:ascii="Calibri" w:hAnsi="Calibri"/>
                <w:b/>
                <w:i w:val="0"/>
                <w:sz w:val="16"/>
              </w:rPr>
              <w:t>1</w:t>
            </w:r>
          </w:p>
        </w:tc>
        <w:tc>
          <w:tcPr>
            <w:tcW w:type="dxa" w:w="5400"/>
            <w:tcW w:w="5400" w:type="dxa"/>
          </w:tcPr>
          <w:p>
            <w:pPr>
              <w:spacing w:after="20" w:before="20"/>
            </w:pPr>
            <w:r/>
            <w:r>
              <w:rPr>
                <w:rFonts w:ascii="Calibri" w:hAnsi="Calibri"/>
                <w:b w:val="0"/>
                <w:i w:val="0"/>
                <w:sz w:val="16"/>
              </w:rPr>
              <w:t>A. Demand generation and enquiry health</w:t>
            </w:r>
          </w:p>
        </w:tc>
        <w:tc>
          <w:tcPr>
            <w:tcW w:type="dxa" w:w="1700"/>
            <w:tcW w:w="1700" w:type="dxa"/>
          </w:tcPr>
          <w:p>
            <w:pPr>
              <w:spacing w:after="20" w:before="20"/>
              <w:jc w:val="center"/>
            </w:pPr>
            <w:r/>
            <w:r>
              <w:rPr>
                <w:rFonts w:ascii="Calibri" w:hAnsi="Calibri"/>
                <w:b w:val="0"/>
                <w:i w:val="0"/>
                <w:sz w:val="16"/>
              </w:rPr>
              <w:t>11 (scored 11.0)</w:t>
            </w:r>
          </w:p>
        </w:tc>
        <w:tc>
          <w:tcPr>
            <w:tcW w:type="dxa" w:w="1700"/>
            <w:tcW w:w="1700" w:type="dxa"/>
          </w:tcPr>
          <w:p>
            <w:pPr>
              <w:spacing w:after="20" w:before="20"/>
              <w:jc w:val="center"/>
            </w:pPr>
            <w:r/>
            <w:r>
              <w:rPr>
                <w:rFonts w:ascii="Calibri" w:hAnsi="Calibri"/>
                <w:b/>
                <w:i w:val="0"/>
                <w:sz w:val="16"/>
              </w:rPr>
              <w:t>6.2</w:t>
            </w:r>
          </w:p>
        </w:tc>
        <w:tc>
          <w:tcPr>
            <w:tcW w:type="dxa" w:w="1700"/>
            <w:tcW w:w="1700" w:type="dxa"/>
          </w:tcPr>
          <w:p>
            <w:pPr>
              <w:spacing w:after="20" w:before="20"/>
              <w:jc w:val="center"/>
            </w:pPr>
            <w:r/>
            <w:r>
              <w:rPr>
                <w:rFonts w:ascii="Calibri" w:hAnsi="Calibri"/>
                <w:b w:val="0"/>
                <w:i w:val="0"/>
                <w:sz w:val="16"/>
              </w:rPr>
              <w:t>56.2%</w:t>
            </w:r>
          </w:p>
        </w:tc>
        <w:tc>
          <w:tcPr>
            <w:tcW w:type="dxa" w:w="4438"/>
            <w:tcW w:w="4438" w:type="dxa"/>
            <w:shd w:val="clear" w:color="auto" w:fill="FFC7CE"/>
          </w:tcPr>
          <w:p>
            <w:pPr>
              <w:spacing w:after="20" w:before="20"/>
            </w:pPr>
            <w:r/>
            <w:r>
              <w:rPr>
                <w:rFonts w:ascii="Calibri" w:hAnsi="Calibri"/>
                <w:b w:val="0"/>
                <w:i w:val="0"/>
                <w:sz w:val="16"/>
              </w:rPr>
              <w:t>Red — Weakest line 1.3 Lead response TAT at 1%</w:t>
            </w:r>
          </w:p>
        </w:tc>
      </w:tr>
      <w:tr>
        <w:tc>
          <w:tcPr>
            <w:tcW w:type="dxa" w:w="700"/>
            <w:tcW w:w="700" w:type="dxa"/>
          </w:tcPr>
          <w:p>
            <w:pPr>
              <w:spacing w:after="20" w:before="20"/>
              <w:jc w:val="center"/>
            </w:pPr>
            <w:r/>
            <w:r>
              <w:rPr>
                <w:rFonts w:ascii="Calibri" w:hAnsi="Calibri"/>
                <w:b/>
                <w:i w:val="0"/>
                <w:sz w:val="16"/>
              </w:rPr>
              <w:t>2</w:t>
            </w:r>
          </w:p>
        </w:tc>
        <w:tc>
          <w:tcPr>
            <w:tcW w:type="dxa" w:w="5400"/>
            <w:tcW w:w="5400" w:type="dxa"/>
          </w:tcPr>
          <w:p>
            <w:pPr>
              <w:spacing w:after="20" w:before="20"/>
            </w:pPr>
            <w:r/>
            <w:r>
              <w:rPr>
                <w:rFonts w:ascii="Calibri" w:hAnsi="Calibri"/>
                <w:b w:val="0"/>
                <w:i w:val="0"/>
                <w:sz w:val="16"/>
              </w:rPr>
              <w:t>B. Funnel conversion health</w:t>
            </w:r>
          </w:p>
        </w:tc>
        <w:tc>
          <w:tcPr>
            <w:tcW w:type="dxa" w:w="1700"/>
            <w:tcW w:w="1700" w:type="dxa"/>
          </w:tcPr>
          <w:p>
            <w:pPr>
              <w:spacing w:after="20" w:before="20"/>
              <w:jc w:val="center"/>
            </w:pPr>
            <w:r/>
            <w:r>
              <w:rPr>
                <w:rFonts w:ascii="Calibri" w:hAnsi="Calibri"/>
                <w:b w:val="0"/>
                <w:i w:val="0"/>
                <w:sz w:val="16"/>
              </w:rPr>
              <w:t>14 (scored 14.0)</w:t>
            </w:r>
          </w:p>
        </w:tc>
        <w:tc>
          <w:tcPr>
            <w:tcW w:type="dxa" w:w="1700"/>
            <w:tcW w:w="1700" w:type="dxa"/>
          </w:tcPr>
          <w:p>
            <w:pPr>
              <w:spacing w:after="20" w:before="20"/>
              <w:jc w:val="center"/>
            </w:pPr>
            <w:r/>
            <w:r>
              <w:rPr>
                <w:rFonts w:ascii="Calibri" w:hAnsi="Calibri"/>
                <w:b/>
                <w:i w:val="0"/>
                <w:sz w:val="16"/>
              </w:rPr>
              <w:t>8.4</w:t>
            </w:r>
          </w:p>
        </w:tc>
        <w:tc>
          <w:tcPr>
            <w:tcW w:type="dxa" w:w="1700"/>
            <w:tcW w:w="1700" w:type="dxa"/>
          </w:tcPr>
          <w:p>
            <w:pPr>
              <w:spacing w:after="20" w:before="20"/>
              <w:jc w:val="center"/>
            </w:pPr>
            <w:r/>
            <w:r>
              <w:rPr>
                <w:rFonts w:ascii="Calibri" w:hAnsi="Calibri"/>
                <w:b w:val="0"/>
                <w:i w:val="0"/>
                <w:sz w:val="16"/>
              </w:rPr>
              <w:t>59.8%</w:t>
            </w:r>
          </w:p>
        </w:tc>
        <w:tc>
          <w:tcPr>
            <w:tcW w:type="dxa" w:w="4438"/>
            <w:tcW w:w="4438" w:type="dxa"/>
            <w:shd w:val="clear" w:color="auto" w:fill="FFC7CE"/>
          </w:tcPr>
          <w:p>
            <w:pPr>
              <w:spacing w:after="20" w:before="20"/>
            </w:pPr>
            <w:r/>
            <w:r>
              <w:rPr>
                <w:rFonts w:ascii="Calibri" w:hAnsi="Calibri"/>
                <w:b w:val="0"/>
                <w:i w:val="0"/>
                <w:sz w:val="16"/>
              </w:rPr>
              <w:t>Red — Weakest line 2.4 Net enquiry to retail at 27%</w:t>
            </w:r>
          </w:p>
        </w:tc>
      </w:tr>
      <w:tr>
        <w:tc>
          <w:tcPr>
            <w:tcW w:type="dxa" w:w="700"/>
            <w:tcW w:w="700" w:type="dxa"/>
          </w:tcPr>
          <w:p>
            <w:pPr>
              <w:spacing w:after="20" w:before="20"/>
              <w:jc w:val="center"/>
            </w:pPr>
            <w:r/>
            <w:r>
              <w:rPr>
                <w:rFonts w:ascii="Calibri" w:hAnsi="Calibri"/>
                <w:b/>
                <w:i w:val="0"/>
                <w:sz w:val="16"/>
              </w:rPr>
              <w:t>3</w:t>
            </w:r>
          </w:p>
        </w:tc>
        <w:tc>
          <w:tcPr>
            <w:tcW w:type="dxa" w:w="5400"/>
            <w:tcW w:w="5400" w:type="dxa"/>
          </w:tcPr>
          <w:p>
            <w:pPr>
              <w:spacing w:after="20" w:before="20"/>
            </w:pPr>
            <w:r/>
            <w:r>
              <w:rPr>
                <w:rFonts w:ascii="Calibri" w:hAnsi="Calibri"/>
                <w:b w:val="0"/>
                <w:i w:val="0"/>
                <w:sz w:val="16"/>
              </w:rPr>
              <w:t>C. Volume, order bank and market share</w:t>
            </w:r>
          </w:p>
        </w:tc>
        <w:tc>
          <w:tcPr>
            <w:tcW w:type="dxa" w:w="1700"/>
            <w:tcW w:w="1700" w:type="dxa"/>
          </w:tcPr>
          <w:p>
            <w:pPr>
              <w:spacing w:after="20" w:before="20"/>
              <w:jc w:val="center"/>
            </w:pPr>
            <w:r/>
            <w:r>
              <w:rPr>
                <w:rFonts w:ascii="Calibri" w:hAnsi="Calibri"/>
                <w:b w:val="0"/>
                <w:i w:val="0"/>
                <w:sz w:val="16"/>
              </w:rPr>
              <w:t>13 (scored 9.9)</w:t>
            </w:r>
          </w:p>
        </w:tc>
        <w:tc>
          <w:tcPr>
            <w:tcW w:type="dxa" w:w="1700"/>
            <w:tcW w:w="1700" w:type="dxa"/>
          </w:tcPr>
          <w:p>
            <w:pPr>
              <w:spacing w:after="20" w:before="20"/>
              <w:jc w:val="center"/>
            </w:pPr>
            <w:r/>
            <w:r>
              <w:rPr>
                <w:rFonts w:ascii="Calibri" w:hAnsi="Calibri"/>
                <w:b/>
                <w:i w:val="0"/>
                <w:sz w:val="16"/>
              </w:rPr>
              <w:t>8.8</w:t>
            </w:r>
          </w:p>
        </w:tc>
        <w:tc>
          <w:tcPr>
            <w:tcW w:type="dxa" w:w="1700"/>
            <w:tcW w:w="1700" w:type="dxa"/>
          </w:tcPr>
          <w:p>
            <w:pPr>
              <w:spacing w:after="20" w:before="20"/>
              <w:jc w:val="center"/>
            </w:pPr>
            <w:r/>
            <w:r>
              <w:rPr>
                <w:rFonts w:ascii="Calibri" w:hAnsi="Calibri"/>
                <w:b w:val="0"/>
                <w:i w:val="0"/>
                <w:sz w:val="16"/>
              </w:rPr>
              <w:t>89.5%</w:t>
            </w:r>
          </w:p>
        </w:tc>
        <w:tc>
          <w:tcPr>
            <w:tcW w:type="dxa" w:w="4438"/>
            <w:tcW w:w="4438" w:type="dxa"/>
            <w:shd w:val="clear" w:color="auto" w:fill="FFEB9C"/>
          </w:tcPr>
          <w:p>
            <w:pPr>
              <w:spacing w:after="20" w:before="20"/>
            </w:pPr>
            <w:r/>
            <w:r>
              <w:rPr>
                <w:rFonts w:ascii="Calibri" w:hAnsi="Calibri"/>
                <w:b w:val="0"/>
                <w:i w:val="0"/>
                <w:sz w:val="16"/>
              </w:rPr>
              <w:t>Amber — Weakest line 3.5 Test drive against target at 58%</w:t>
            </w:r>
          </w:p>
        </w:tc>
      </w:tr>
      <w:tr>
        <w:tc>
          <w:tcPr>
            <w:tcW w:type="dxa" w:w="700"/>
            <w:tcW w:w="700" w:type="dxa"/>
          </w:tcPr>
          <w:p>
            <w:pPr>
              <w:spacing w:after="20" w:before="20"/>
              <w:jc w:val="center"/>
            </w:pPr>
            <w:r/>
            <w:r>
              <w:rPr>
                <w:rFonts w:ascii="Calibri" w:hAnsi="Calibri"/>
                <w:b/>
                <w:i w:val="0"/>
                <w:sz w:val="16"/>
              </w:rPr>
              <w:t>4</w:t>
            </w:r>
          </w:p>
        </w:tc>
        <w:tc>
          <w:tcPr>
            <w:tcW w:type="dxa" w:w="5400"/>
            <w:tcW w:w="5400" w:type="dxa"/>
          </w:tcPr>
          <w:p>
            <w:pPr>
              <w:spacing w:after="20" w:before="20"/>
            </w:pPr>
            <w:r/>
            <w:r>
              <w:rPr>
                <w:rFonts w:ascii="Calibri" w:hAnsi="Calibri"/>
                <w:b w:val="0"/>
                <w:i w:val="0"/>
                <w:sz w:val="16"/>
              </w:rPr>
              <w:t>D. Manpower health and productivity</w:t>
            </w:r>
          </w:p>
        </w:tc>
        <w:tc>
          <w:tcPr>
            <w:tcW w:type="dxa" w:w="1700"/>
            <w:tcW w:w="1700" w:type="dxa"/>
          </w:tcPr>
          <w:p>
            <w:pPr>
              <w:spacing w:after="20" w:before="20"/>
              <w:jc w:val="center"/>
            </w:pPr>
            <w:r/>
            <w:r>
              <w:rPr>
                <w:rFonts w:ascii="Calibri" w:hAnsi="Calibri"/>
                <w:b w:val="0"/>
                <w:i w:val="0"/>
                <w:sz w:val="16"/>
              </w:rPr>
              <w:t>9 (scored 3.0)</w:t>
            </w:r>
          </w:p>
        </w:tc>
        <w:tc>
          <w:tcPr>
            <w:tcW w:type="dxa" w:w="1700"/>
            <w:tcW w:w="1700" w:type="dxa"/>
          </w:tcPr>
          <w:p>
            <w:pPr>
              <w:spacing w:after="20" w:before="20"/>
              <w:jc w:val="center"/>
            </w:pPr>
            <w:r/>
            <w:r>
              <w:rPr>
                <w:rFonts w:ascii="Calibri" w:hAnsi="Calibri"/>
                <w:b/>
                <w:i w:val="0"/>
                <w:sz w:val="16"/>
              </w:rPr>
              <w:t>0.8</w:t>
            </w:r>
          </w:p>
        </w:tc>
        <w:tc>
          <w:tcPr>
            <w:tcW w:type="dxa" w:w="1700"/>
            <w:tcW w:w="1700" w:type="dxa"/>
          </w:tcPr>
          <w:p>
            <w:pPr>
              <w:spacing w:after="20" w:before="20"/>
              <w:jc w:val="center"/>
            </w:pPr>
            <w:r/>
            <w:r>
              <w:rPr>
                <w:rFonts w:ascii="Calibri" w:hAnsi="Calibri"/>
                <w:b w:val="0"/>
                <w:i w:val="0"/>
                <w:sz w:val="16"/>
              </w:rPr>
              <w:t>28.6%</w:t>
            </w:r>
          </w:p>
        </w:tc>
        <w:tc>
          <w:tcPr>
            <w:tcW w:type="dxa" w:w="4438"/>
            <w:tcW w:w="4438" w:type="dxa"/>
            <w:shd w:val="clear" w:color="auto" w:fill="FFC7CE"/>
          </w:tcPr>
          <w:p>
            <w:pPr>
              <w:spacing w:after="20" w:before="20"/>
            </w:pPr>
            <w:r/>
            <w:r>
              <w:rPr>
                <w:rFonts w:ascii="Calibri" w:hAnsi="Calibri"/>
                <w:b w:val="0"/>
                <w:i w:val="0"/>
                <w:sz w:val="16"/>
              </w:rPr>
              <w:t>Red — Weakest line 4.2 Productivity per consultant at 29%</w:t>
            </w:r>
          </w:p>
        </w:tc>
      </w:tr>
      <w:tr>
        <w:tc>
          <w:tcPr>
            <w:tcW w:type="dxa" w:w="700"/>
            <w:tcW w:w="700" w:type="dxa"/>
          </w:tcPr>
          <w:p>
            <w:pPr>
              <w:spacing w:after="20" w:before="20"/>
              <w:jc w:val="center"/>
            </w:pPr>
            <w:r/>
            <w:r>
              <w:rPr>
                <w:rFonts w:ascii="Calibri" w:hAnsi="Calibri"/>
                <w:b/>
                <w:i w:val="0"/>
                <w:sz w:val="16"/>
              </w:rPr>
              <w:t>5</w:t>
            </w:r>
          </w:p>
        </w:tc>
        <w:tc>
          <w:tcPr>
            <w:tcW w:type="dxa" w:w="5400"/>
            <w:tcW w:w="5400" w:type="dxa"/>
          </w:tcPr>
          <w:p>
            <w:pPr>
              <w:spacing w:after="20" w:before="20"/>
            </w:pPr>
            <w:r/>
            <w:r>
              <w:rPr>
                <w:rFonts w:ascii="Calibri" w:hAnsi="Calibri"/>
                <w:b w:val="0"/>
                <w:i w:val="0"/>
                <w:sz w:val="16"/>
              </w:rPr>
              <w:t>E. Stock and inventory health</w:t>
            </w:r>
          </w:p>
        </w:tc>
        <w:tc>
          <w:tcPr>
            <w:tcW w:type="dxa" w:w="1700"/>
            <w:tcW w:w="1700" w:type="dxa"/>
          </w:tcPr>
          <w:p>
            <w:pPr>
              <w:spacing w:after="20" w:before="20"/>
              <w:jc w:val="center"/>
            </w:pPr>
            <w:r/>
            <w:r>
              <w:rPr>
                <w:rFonts w:ascii="Calibri" w:hAnsi="Calibri"/>
                <w:b w:val="0"/>
                <w:i w:val="0"/>
                <w:sz w:val="16"/>
              </w:rPr>
              <w:t>11 (scored 2.0)</w:t>
            </w:r>
          </w:p>
        </w:tc>
        <w:tc>
          <w:tcPr>
            <w:tcW w:type="dxa" w:w="1700"/>
            <w:tcW w:w="1700" w:type="dxa"/>
          </w:tcPr>
          <w:p>
            <w:pPr>
              <w:spacing w:after="20" w:before="20"/>
              <w:jc w:val="center"/>
            </w:pPr>
            <w:r/>
            <w:r>
              <w:rPr>
                <w:rFonts w:ascii="Calibri" w:hAnsi="Calibri"/>
                <w:b/>
                <w:i w:val="0"/>
                <w:sz w:val="16"/>
              </w:rPr>
              <w:t>2.0</w:t>
            </w:r>
          </w:p>
        </w:tc>
        <w:tc>
          <w:tcPr>
            <w:tcW w:type="dxa" w:w="1700"/>
            <w:tcW w:w="1700" w:type="dxa"/>
          </w:tcPr>
          <w:p>
            <w:pPr>
              <w:spacing w:after="20" w:before="20"/>
              <w:jc w:val="center"/>
            </w:pPr>
            <w:r/>
            <w:r>
              <w:rPr>
                <w:rFonts w:ascii="Calibri" w:hAnsi="Calibri"/>
                <w:b w:val="0"/>
                <w:i w:val="0"/>
                <w:sz w:val="16"/>
              </w:rPr>
              <w:t>100.0%</w:t>
            </w:r>
          </w:p>
        </w:tc>
        <w:tc>
          <w:tcPr>
            <w:tcW w:type="dxa" w:w="4438"/>
            <w:tcW w:w="4438" w:type="dxa"/>
            <w:shd w:val="clear" w:color="auto" w:fill="C6EFCE"/>
          </w:tcPr>
          <w:p>
            <w:pPr>
              <w:spacing w:after="20" w:before="20"/>
            </w:pPr>
            <w:r/>
            <w:r>
              <w:rPr>
                <w:rFonts w:ascii="Calibri" w:hAnsi="Calibri"/>
                <w:b w:val="0"/>
                <w:i w:val="0"/>
                <w:sz w:val="16"/>
              </w:rPr>
              <w:t>Green — Weakest line 5.3 VIN allotment to invoice TAT at 100%</w:t>
            </w:r>
          </w:p>
        </w:tc>
      </w:tr>
      <w:tr>
        <w:tc>
          <w:tcPr>
            <w:tcW w:type="dxa" w:w="700"/>
            <w:tcW w:w="700" w:type="dxa"/>
          </w:tcPr>
          <w:p>
            <w:pPr>
              <w:spacing w:after="20" w:before="20"/>
              <w:jc w:val="center"/>
            </w:pPr>
            <w:r/>
            <w:r>
              <w:rPr>
                <w:rFonts w:ascii="Calibri" w:hAnsi="Calibri"/>
                <w:b/>
                <w:i w:val="0"/>
                <w:sz w:val="16"/>
              </w:rPr>
              <w:t>6</w:t>
            </w:r>
          </w:p>
        </w:tc>
        <w:tc>
          <w:tcPr>
            <w:tcW w:type="dxa" w:w="5400"/>
            <w:tcW w:w="5400" w:type="dxa"/>
          </w:tcPr>
          <w:p>
            <w:pPr>
              <w:spacing w:after="20" w:before="20"/>
            </w:pPr>
            <w:r/>
            <w:r>
              <w:rPr>
                <w:rFonts w:ascii="Calibri" w:hAnsi="Calibri"/>
                <w:b w:val="0"/>
                <w:i w:val="0"/>
                <w:sz w:val="16"/>
              </w:rPr>
              <w:t>F. Financial and profitability health</w:t>
            </w:r>
          </w:p>
        </w:tc>
        <w:tc>
          <w:tcPr>
            <w:tcW w:type="dxa" w:w="1700"/>
            <w:tcW w:w="1700" w:type="dxa"/>
          </w:tcPr>
          <w:p>
            <w:pPr>
              <w:spacing w:after="20" w:before="20"/>
              <w:jc w:val="center"/>
            </w:pPr>
            <w:r/>
            <w:r>
              <w:rPr>
                <w:rFonts w:ascii="Calibri" w:hAnsi="Calibri"/>
                <w:b w:val="0"/>
                <w:i w:val="0"/>
                <w:sz w:val="16"/>
              </w:rPr>
              <w:t>14 (scored 10.9)</w:t>
            </w:r>
          </w:p>
        </w:tc>
        <w:tc>
          <w:tcPr>
            <w:tcW w:type="dxa" w:w="1700"/>
            <w:tcW w:w="1700" w:type="dxa"/>
          </w:tcPr>
          <w:p>
            <w:pPr>
              <w:spacing w:after="20" w:before="20"/>
              <w:jc w:val="center"/>
            </w:pPr>
            <w:r/>
            <w:r>
              <w:rPr>
                <w:rFonts w:ascii="Calibri" w:hAnsi="Calibri"/>
                <w:b/>
                <w:i w:val="0"/>
                <w:sz w:val="16"/>
              </w:rPr>
              <w:t>2.3</w:t>
            </w:r>
          </w:p>
        </w:tc>
        <w:tc>
          <w:tcPr>
            <w:tcW w:type="dxa" w:w="1700"/>
            <w:tcW w:w="1700" w:type="dxa"/>
          </w:tcPr>
          <w:p>
            <w:pPr>
              <w:spacing w:after="20" w:before="20"/>
              <w:jc w:val="center"/>
            </w:pPr>
            <w:r/>
            <w:r>
              <w:rPr>
                <w:rFonts w:ascii="Calibri" w:hAnsi="Calibri"/>
                <w:b w:val="0"/>
                <w:i w:val="0"/>
                <w:sz w:val="16"/>
              </w:rPr>
              <w:t>20.7%</w:t>
            </w:r>
          </w:p>
        </w:tc>
        <w:tc>
          <w:tcPr>
            <w:tcW w:type="dxa" w:w="4438"/>
            <w:tcW w:w="4438" w:type="dxa"/>
            <w:shd w:val="clear" w:color="auto" w:fill="FFC7CE"/>
          </w:tcPr>
          <w:p>
            <w:pPr>
              <w:spacing w:after="20" w:before="20"/>
            </w:pPr>
            <w:r/>
            <w:r>
              <w:rPr>
                <w:rFonts w:ascii="Calibri" w:hAnsi="Calibri"/>
                <w:b w:val="0"/>
                <w:i w:val="0"/>
                <w:sz w:val="16"/>
              </w:rPr>
              <w:t>Red — Weakest line 6.2 SHIELD (extended warranty) sold at 0%</w:t>
            </w:r>
          </w:p>
        </w:tc>
      </w:tr>
      <w:tr>
        <w:tc>
          <w:tcPr>
            <w:tcW w:type="dxa" w:w="700"/>
            <w:tcW w:w="700" w:type="dxa"/>
          </w:tcPr>
          <w:p>
            <w:pPr>
              <w:spacing w:after="20" w:before="20"/>
              <w:jc w:val="center"/>
            </w:pPr>
            <w:r/>
            <w:r>
              <w:rPr>
                <w:rFonts w:ascii="Calibri" w:hAnsi="Calibri"/>
                <w:b/>
                <w:i w:val="0"/>
                <w:sz w:val="16"/>
              </w:rPr>
              <w:t>7</w:t>
            </w:r>
          </w:p>
        </w:tc>
        <w:tc>
          <w:tcPr>
            <w:tcW w:type="dxa" w:w="5400"/>
            <w:tcW w:w="5400" w:type="dxa"/>
          </w:tcPr>
          <w:p>
            <w:pPr>
              <w:spacing w:after="20" w:before="20"/>
            </w:pPr>
            <w:r/>
            <w:r>
              <w:rPr>
                <w:rFonts w:ascii="Calibri" w:hAnsi="Calibri"/>
                <w:b w:val="0"/>
                <w:i w:val="0"/>
                <w:sz w:val="16"/>
              </w:rPr>
              <w:t>G. Customer experience health</w:t>
            </w:r>
          </w:p>
        </w:tc>
        <w:tc>
          <w:tcPr>
            <w:tcW w:type="dxa" w:w="1700"/>
            <w:tcW w:w="1700" w:type="dxa"/>
          </w:tcPr>
          <w:p>
            <w:pPr>
              <w:spacing w:after="20" w:before="20"/>
              <w:jc w:val="center"/>
            </w:pPr>
            <w:r/>
            <w:r>
              <w:rPr>
                <w:rFonts w:ascii="Calibri" w:hAnsi="Calibri"/>
                <w:b w:val="0"/>
                <w:i w:val="0"/>
                <w:sz w:val="16"/>
              </w:rPr>
              <w:t>11 (scored 2.1)</w:t>
            </w:r>
          </w:p>
        </w:tc>
        <w:tc>
          <w:tcPr>
            <w:tcW w:type="dxa" w:w="1700"/>
            <w:tcW w:w="1700" w:type="dxa"/>
          </w:tcPr>
          <w:p>
            <w:pPr>
              <w:spacing w:after="20" w:before="20"/>
              <w:jc w:val="center"/>
            </w:pPr>
            <w:r/>
            <w:r>
              <w:rPr>
                <w:rFonts w:ascii="Calibri" w:hAnsi="Calibri"/>
                <w:b/>
                <w:i w:val="0"/>
                <w:sz w:val="16"/>
              </w:rPr>
              <w:t>0.3</w:t>
            </w:r>
          </w:p>
        </w:tc>
        <w:tc>
          <w:tcPr>
            <w:tcW w:type="dxa" w:w="1700"/>
            <w:tcW w:w="1700" w:type="dxa"/>
          </w:tcPr>
          <w:p>
            <w:pPr>
              <w:spacing w:after="20" w:before="20"/>
              <w:jc w:val="center"/>
            </w:pPr>
            <w:r/>
            <w:r>
              <w:rPr>
                <w:rFonts w:ascii="Calibri" w:hAnsi="Calibri"/>
                <w:b w:val="0"/>
                <w:i w:val="0"/>
                <w:sz w:val="16"/>
              </w:rPr>
              <w:t>15.8%</w:t>
            </w:r>
          </w:p>
        </w:tc>
        <w:tc>
          <w:tcPr>
            <w:tcW w:type="dxa" w:w="4438"/>
            <w:tcW w:w="4438" w:type="dxa"/>
            <w:shd w:val="clear" w:color="auto" w:fill="FFC7CE"/>
          </w:tcPr>
          <w:p>
            <w:pPr>
              <w:spacing w:after="20" w:before="20"/>
            </w:pPr>
            <w:r/>
            <w:r>
              <w:rPr>
                <w:rFonts w:ascii="Calibri" w:hAnsi="Calibri"/>
                <w:b w:val="0"/>
                <w:i w:val="0"/>
                <w:sz w:val="16"/>
              </w:rPr>
              <w:t>Red — Weakest line 7.5 Delivery commitment adherence at 0%</w:t>
            </w:r>
          </w:p>
        </w:tc>
      </w:tr>
      <w:tr>
        <w:tc>
          <w:tcPr>
            <w:tcW w:type="dxa" w:w="700"/>
            <w:tcW w:w="700" w:type="dxa"/>
          </w:tcPr>
          <w:p>
            <w:pPr>
              <w:spacing w:after="20" w:before="20"/>
              <w:jc w:val="center"/>
            </w:pPr>
            <w:r/>
            <w:r>
              <w:rPr>
                <w:rFonts w:ascii="Calibri" w:hAnsi="Calibri"/>
                <w:b/>
                <w:i w:val="0"/>
                <w:sz w:val="16"/>
              </w:rPr>
              <w:t>8</w:t>
            </w:r>
          </w:p>
        </w:tc>
        <w:tc>
          <w:tcPr>
            <w:tcW w:type="dxa" w:w="5400"/>
            <w:tcW w:w="5400" w:type="dxa"/>
          </w:tcPr>
          <w:p>
            <w:pPr>
              <w:spacing w:after="20" w:before="20"/>
            </w:pPr>
            <w:r/>
            <w:r>
              <w:rPr>
                <w:rFonts w:ascii="Calibri" w:hAnsi="Calibri"/>
                <w:b w:val="0"/>
                <w:i w:val="0"/>
                <w:sz w:val="16"/>
              </w:rPr>
              <w:t>H. Systems and process compliance</w:t>
            </w:r>
          </w:p>
        </w:tc>
        <w:tc>
          <w:tcPr>
            <w:tcW w:type="dxa" w:w="1700"/>
            <w:tcW w:w="1700" w:type="dxa"/>
          </w:tcPr>
          <w:p>
            <w:pPr>
              <w:spacing w:after="20" w:before="20"/>
              <w:jc w:val="center"/>
            </w:pPr>
            <w:r/>
            <w:r>
              <w:rPr>
                <w:rFonts w:ascii="Calibri" w:hAnsi="Calibri"/>
                <w:b w:val="0"/>
                <w:i w:val="0"/>
                <w:sz w:val="16"/>
              </w:rPr>
              <w:t>5 (scored 4.0)</w:t>
            </w:r>
          </w:p>
        </w:tc>
        <w:tc>
          <w:tcPr>
            <w:tcW w:type="dxa" w:w="1700"/>
            <w:tcW w:w="1700" w:type="dxa"/>
          </w:tcPr>
          <w:p>
            <w:pPr>
              <w:spacing w:after="20" w:before="20"/>
              <w:jc w:val="center"/>
            </w:pPr>
            <w:r/>
            <w:r>
              <w:rPr>
                <w:rFonts w:ascii="Calibri" w:hAnsi="Calibri"/>
                <w:b/>
                <w:i w:val="0"/>
                <w:sz w:val="16"/>
              </w:rPr>
              <w:t>0.7</w:t>
            </w:r>
          </w:p>
        </w:tc>
        <w:tc>
          <w:tcPr>
            <w:tcW w:type="dxa" w:w="1700"/>
            <w:tcW w:w="1700" w:type="dxa"/>
          </w:tcPr>
          <w:p>
            <w:pPr>
              <w:spacing w:after="20" w:before="20"/>
              <w:jc w:val="center"/>
            </w:pPr>
            <w:r/>
            <w:r>
              <w:rPr>
                <w:rFonts w:ascii="Calibri" w:hAnsi="Calibri"/>
                <w:b w:val="0"/>
                <w:i w:val="0"/>
                <w:sz w:val="16"/>
              </w:rPr>
              <w:t>18.0%</w:t>
            </w:r>
          </w:p>
        </w:tc>
        <w:tc>
          <w:tcPr>
            <w:tcW w:type="dxa" w:w="4438"/>
            <w:tcW w:w="4438" w:type="dxa"/>
            <w:shd w:val="clear" w:color="auto" w:fill="FFC7CE"/>
          </w:tcPr>
          <w:p>
            <w:pPr>
              <w:spacing w:after="20" w:before="20"/>
            </w:pPr>
            <w:r/>
            <w:r>
              <w:rPr>
                <w:rFonts w:ascii="Calibri" w:hAnsi="Calibri"/>
                <w:b w:val="0"/>
                <w:i w:val="0"/>
                <w:sz w:val="16"/>
              </w:rPr>
              <w:t>Red — Weakest line 8.2 Follow-up adherence at 16%</w:t>
            </w:r>
          </w:p>
        </w:tc>
      </w:tr>
      <w:tr>
        <w:tc>
          <w:tcPr>
            <w:tcW w:type="dxa" w:w="700"/>
            <w:tcW w:w="700" w:type="dxa"/>
          </w:tcPr>
          <w:p>
            <w:pPr>
              <w:spacing w:after="20" w:before="20"/>
              <w:jc w:val="center"/>
            </w:pPr>
            <w:r/>
            <w:r>
              <w:rPr>
                <w:rFonts w:ascii="Calibri" w:hAnsi="Calibri"/>
                <w:b/>
                <w:i w:val="0"/>
                <w:sz w:val="16"/>
              </w:rPr>
              <w:t>9</w:t>
            </w:r>
          </w:p>
        </w:tc>
        <w:tc>
          <w:tcPr>
            <w:tcW w:type="dxa" w:w="5400"/>
            <w:tcW w:w="5400" w:type="dxa"/>
          </w:tcPr>
          <w:p>
            <w:pPr>
              <w:spacing w:after="20" w:before="20"/>
            </w:pPr>
            <w:r/>
            <w:r>
              <w:rPr>
                <w:rFonts w:ascii="Calibri" w:hAnsi="Calibri"/>
                <w:b w:val="0"/>
                <w:i w:val="0"/>
                <w:sz w:val="16"/>
              </w:rPr>
              <w:t>I. Demo fleet traceability</w:t>
            </w:r>
          </w:p>
        </w:tc>
        <w:tc>
          <w:tcPr>
            <w:tcW w:type="dxa" w:w="1700"/>
            <w:tcW w:w="1700" w:type="dxa"/>
          </w:tcPr>
          <w:p>
            <w:pPr>
              <w:spacing w:after="20" w:before="20"/>
              <w:jc w:val="center"/>
            </w:pPr>
            <w:r/>
            <w:r>
              <w:rPr>
                <w:rFonts w:ascii="Calibri" w:hAnsi="Calibri"/>
                <w:b w:val="0"/>
                <w:i w:val="0"/>
                <w:sz w:val="16"/>
              </w:rPr>
              <w:t>2 (scored 2.0)</w:t>
            </w:r>
          </w:p>
        </w:tc>
        <w:tc>
          <w:tcPr>
            <w:tcW w:type="dxa" w:w="1700"/>
            <w:tcW w:w="1700" w:type="dxa"/>
          </w:tcPr>
          <w:p>
            <w:pPr>
              <w:spacing w:after="20" w:before="20"/>
              <w:jc w:val="center"/>
            </w:pPr>
            <w:r/>
            <w:r>
              <w:rPr>
                <w:rFonts w:ascii="Calibri" w:hAnsi="Calibri"/>
                <w:b/>
                <w:i w:val="0"/>
                <w:sz w:val="16"/>
              </w:rPr>
              <w:t>0.0</w:t>
            </w:r>
          </w:p>
        </w:tc>
        <w:tc>
          <w:tcPr>
            <w:tcW w:type="dxa" w:w="1700"/>
            <w:tcW w:w="1700" w:type="dxa"/>
          </w:tcPr>
          <w:p>
            <w:pPr>
              <w:spacing w:after="20" w:before="20"/>
              <w:jc w:val="center"/>
            </w:pPr>
            <w:r/>
            <w:r>
              <w:rPr>
                <w:rFonts w:ascii="Calibri" w:hAnsi="Calibri"/>
                <w:b w:val="0"/>
                <w:i w:val="0"/>
                <w:sz w:val="16"/>
              </w:rPr>
              <w:t>0.0%</w:t>
            </w:r>
          </w:p>
        </w:tc>
        <w:tc>
          <w:tcPr>
            <w:tcW w:type="dxa" w:w="4438"/>
            <w:tcW w:w="4438" w:type="dxa"/>
            <w:shd w:val="clear" w:color="auto" w:fill="FFC7CE"/>
          </w:tcPr>
          <w:p>
            <w:pPr>
              <w:spacing w:after="20" w:before="20"/>
            </w:pPr>
            <w:r/>
            <w:r>
              <w:rPr>
                <w:rFonts w:ascii="Calibri" w:hAnsi="Calibri"/>
                <w:b w:val="0"/>
                <w:i w:val="0"/>
                <w:sz w:val="16"/>
              </w:rPr>
              <w:t>Red — Weakest line 9.1 Test drive vehicle recorded at 0%</w:t>
            </w:r>
          </w:p>
        </w:tc>
      </w:tr>
      <w:tr>
        <w:tc>
          <w:tcPr>
            <w:tcW w:type="dxa" w:w="700"/>
            <w:tcW w:w="700" w:type="dxa"/>
          </w:tcPr>
          <w:p>
            <w:pPr>
              <w:spacing w:after="20" w:before="20"/>
              <w:jc w:val="center"/>
            </w:pPr>
            <w:r/>
            <w:r>
              <w:rPr>
                <w:rFonts w:ascii="Calibri" w:hAnsi="Calibri"/>
                <w:b/>
                <w:i w:val="0"/>
                <w:sz w:val="16"/>
              </w:rPr>
              <w:t>10</w:t>
            </w:r>
          </w:p>
        </w:tc>
        <w:tc>
          <w:tcPr>
            <w:tcW w:type="dxa" w:w="5400"/>
            <w:tcW w:w="5400" w:type="dxa"/>
          </w:tcPr>
          <w:p>
            <w:pPr>
              <w:spacing w:after="20" w:before="20"/>
            </w:pPr>
            <w:r/>
            <w:r>
              <w:rPr>
                <w:rFonts w:ascii="Calibri" w:hAnsi="Calibri"/>
                <w:b w:val="0"/>
                <w:i w:val="0"/>
                <w:sz w:val="16"/>
              </w:rPr>
              <w:t>J. Physical Audit Sheet</w:t>
            </w:r>
          </w:p>
        </w:tc>
        <w:tc>
          <w:tcPr>
            <w:tcW w:type="dxa" w:w="1700"/>
            <w:tcW w:w="1700" w:type="dxa"/>
          </w:tcPr>
          <w:p>
            <w:pPr>
              <w:spacing w:after="20" w:before="20"/>
              <w:jc w:val="center"/>
            </w:pPr>
            <w:r/>
            <w:r>
              <w:rPr>
                <w:rFonts w:ascii="Calibri" w:hAnsi="Calibri"/>
                <w:b w:val="0"/>
                <w:i w:val="0"/>
                <w:sz w:val="16"/>
              </w:rPr>
              <w:t>10 (scored 0.0)</w:t>
            </w:r>
          </w:p>
        </w:tc>
        <w:tc>
          <w:tcPr>
            <w:tcW w:type="dxa" w:w="1700"/>
            <w:tcW w:w="1700" w:type="dxa"/>
          </w:tcPr>
          <w:p>
            <w:pPr>
              <w:spacing w:after="20" w:before="20"/>
              <w:jc w:val="center"/>
            </w:pPr>
            <w:r/>
            <w:r>
              <w:rPr>
                <w:rFonts w:ascii="Calibri" w:hAnsi="Calibri"/>
                <w:b/>
                <w:i w:val="0"/>
                <w:sz w:val="16"/>
              </w:rPr>
              <w:t>0.0</w:t>
            </w:r>
          </w:p>
        </w:tc>
        <w:tc>
          <w:tcPr>
            <w:tcW w:type="dxa" w:w="1700"/>
            <w:tcW w:w="1700" w:type="dxa"/>
          </w:tcPr>
          <w:p>
            <w:pPr>
              <w:spacing w:after="20" w:before="20"/>
              <w:jc w:val="center"/>
            </w:pPr>
            <w:r/>
            <w:r>
              <w:rPr>
                <w:rFonts w:ascii="Calibri" w:hAnsi="Calibri"/>
                <w:b w:val="0"/>
                <w:i w:val="0"/>
                <w:sz w:val="16"/>
              </w:rPr>
              <w:t>—</w:t>
            </w:r>
          </w:p>
        </w:tc>
        <w:tc>
          <w:tcPr>
            <w:tcW w:type="dxa" w:w="4438"/>
            <w:tcW w:w="4438" w:type="dxa"/>
          </w:tcPr>
          <w:p>
            <w:pPr>
              <w:spacing w:after="20" w:before="20"/>
            </w:pPr>
            <w:r/>
            <w:r>
              <w:rPr>
                <w:rFonts w:ascii="Calibri" w:hAnsi="Calibri"/>
                <w:b w:val="0"/>
                <w:i w:val="0"/>
                <w:sz w:val="16"/>
              </w:rPr>
              <w:t>NS — No line scorable</w:t>
            </w:r>
          </w:p>
        </w:tc>
      </w:tr>
      <w:tr>
        <w:tc>
          <w:tcPr>
            <w:tcW w:type="dxa" w:w="6100"/>
            <w:gridSpan w:val="2"/>
            <w:shd w:val="clear" w:color="auto" w:fill="E8E8E8"/>
          </w:tcPr>
          <w:p>
            <w:pPr>
              <w:spacing w:after="20" w:before="20"/>
              <w:jc w:val="right"/>
            </w:pPr>
            <w:r/>
            <w:r>
              <w:rPr>
                <w:rFonts w:ascii="Calibri" w:hAnsi="Calibri"/>
                <w:b/>
                <w:i w:val="0"/>
                <w:sz w:val="18"/>
              </w:rPr>
              <w:t>SALES PROCESS INDEX</w:t>
            </w:r>
          </w:p>
        </w:tc>
        <w:tc>
          <w:tcPr>
            <w:tcW w:type="dxa" w:w="1700"/>
            <w:shd w:val="clear" w:color="auto" w:fill="E8E8E8"/>
          </w:tcPr>
          <w:p>
            <w:pPr>
              <w:spacing w:after="20" w:before="20"/>
              <w:jc w:val="center"/>
            </w:pPr>
            <w:r/>
            <w:r>
              <w:rPr>
                <w:rFonts w:ascii="Calibri" w:hAnsi="Calibri"/>
                <w:b/>
                <w:i w:val="0"/>
                <w:sz w:val="18"/>
              </w:rPr>
              <w:t>100 (scored 58.8)</w:t>
            </w:r>
          </w:p>
        </w:tc>
        <w:tc>
          <w:tcPr>
            <w:tcW w:type="dxa" w:w="1700"/>
            <w:shd w:val="clear" w:color="auto" w:fill="E8E8E8"/>
          </w:tcPr>
          <w:p>
            <w:pPr>
              <w:spacing w:after="20" w:before="20"/>
              <w:jc w:val="center"/>
            </w:pPr>
            <w:r/>
            <w:r>
              <w:rPr>
                <w:rFonts w:ascii="Calibri" w:hAnsi="Calibri"/>
                <w:b/>
                <w:i w:val="0"/>
                <w:sz w:val="18"/>
              </w:rPr>
              <w:t>29.5</w:t>
            </w:r>
          </w:p>
        </w:tc>
        <w:tc>
          <w:tcPr>
            <w:tcW w:type="dxa" w:w="1700"/>
            <w:shd w:val="clear" w:color="auto" w:fill="E8E8E8"/>
          </w:tcPr>
          <w:p>
            <w:pPr>
              <w:spacing w:after="20" w:before="20"/>
              <w:jc w:val="center"/>
            </w:pPr>
            <w:r/>
            <w:r>
              <w:rPr>
                <w:rFonts w:ascii="Calibri" w:hAnsi="Calibri"/>
                <w:b/>
                <w:i w:val="0"/>
                <w:sz w:val="18"/>
              </w:rPr>
              <w:t>50.2%</w:t>
            </w:r>
          </w:p>
        </w:tc>
        <w:tc>
          <w:tcPr>
            <w:tcW w:type="dxa" w:w="4438"/>
            <w:shd w:val="clear" w:color="auto" w:fill="E8E8E8"/>
          </w:tcPr>
          <w:p>
            <w:pPr>
              <w:spacing w:after="20" w:before="20"/>
            </w:pPr>
            <w:r/>
            <w:r>
              <w:rPr>
                <w:rFonts w:ascii="Calibri" w:hAnsi="Calibri"/>
                <w:b/>
                <w:i w:val="0"/>
                <w:sz w:val="18"/>
              </w:rPr>
              <w:t>Red — Critical — Immediate intervention</w:t>
            </w:r>
          </w:p>
        </w:tc>
      </w:tr>
    </w:tbl>
    <w:p>
      <w:pPr>
        <w:spacing w:after="80"/>
      </w:pPr>
      <w:r>
        <w:rPr>
          <w:rFonts w:ascii="Calibri" w:hAnsi="Calibri"/>
          <w:b/>
          <w:sz w:val="18"/>
        </w:rPr>
        <w:t xml:space="preserve">Sales Process Index = 29.5 ÷ 58.8 scorable weight = 50.2% — Red — Critical. </w:t>
      </w:r>
      <w:r>
        <w:rPr>
          <w:rFonts w:ascii="Calibri" w:hAnsi="Calibri"/>
          <w:b w:val="0"/>
          <w:sz w:val="18"/>
        </w:rPr>
        <w:t>41.2 of 100 weightage points could not be scored because the source data was not supplied; the index is calculated on the points that were auditable and will change once the missing files are provided.</w:t>
      </w:r>
    </w:p>
    <w:p>
      <w:pPr>
        <w:spacing w:before="240" w:after="100"/>
        <w:pBdr>
          <w:bottom w:val="single" w:sz="8" w:color="1F3864" w:space="2"/>
        </w:pBdr>
      </w:pPr>
      <w:r>
        <w:rPr>
          <w:rFonts w:ascii="Calibri" w:hAnsi="Calibri"/>
          <w:b/>
          <w:color w:val="1F3864"/>
          <w:sz w:val="26"/>
        </w:rPr>
        <w:t>Section C — Funnel snapshot</w:t>
      </w:r>
    </w:p>
    <w:tbl>
      <w:tblPr>
        <w:tblStyle w:val="TableGrid"/>
        <w:tblW w:type="auto" w:w="0"/>
        <w:tblLayout w:type="fixed"/>
        <w:tblLook w:firstColumn="1" w:firstRow="1" w:lastColumn="0" w:lastRow="0" w:noHBand="0" w:noVBand="1" w:val="04A0"/>
        <w:tblLayout w:type="fixed"/>
      </w:tblPr>
      <w:tblGrid>
        <w:gridCol w:w="3400"/>
        <w:gridCol w:w="2600"/>
        <w:gridCol w:w="2200"/>
        <w:gridCol w:w="2600"/>
        <w:gridCol w:w="2200"/>
        <w:gridCol w:w="2638"/>
      </w:tblGrid>
      <w:tr>
        <w:tc>
          <w:tcPr>
            <w:tcW w:type="dxa" w:w="2606"/>
            <w:tcW w:w="3400" w:type="dxa"/>
            <w:shd w:val="clear" w:color="auto" w:fill="1F3864"/>
            <w:vAlign w:val="center"/>
          </w:tcPr>
          <w:p>
            <w:pPr>
              <w:spacing w:after="20" w:before="20"/>
              <w:jc w:val="center"/>
            </w:pPr>
            <w:r/>
            <w:r>
              <w:rPr>
                <w:rFonts w:ascii="Calibri" w:hAnsi="Calibri"/>
                <w:b/>
                <w:i w:val="0"/>
                <w:color w:val="FFFFFF"/>
                <w:sz w:val="18"/>
              </w:rPr>
              <w:t>Funnel stage</w:t>
            </w:r>
          </w:p>
        </w:tc>
        <w:tc>
          <w:tcPr>
            <w:tcW w:type="dxa" w:w="2606"/>
            <w:tcW w:w="2600" w:type="dxa"/>
            <w:shd w:val="clear" w:color="auto" w:fill="1F3864"/>
            <w:vAlign w:val="center"/>
          </w:tcPr>
          <w:p>
            <w:pPr>
              <w:spacing w:after="20" w:before="20"/>
              <w:jc w:val="center"/>
            </w:pPr>
            <w:r/>
            <w:r>
              <w:rPr>
                <w:rFonts w:ascii="Calibri" w:hAnsi="Calibri"/>
                <w:b/>
                <w:i w:val="0"/>
                <w:color w:val="FFFFFF"/>
                <w:sz w:val="18"/>
              </w:rPr>
              <w:t>Norm</w:t>
            </w:r>
          </w:p>
        </w:tc>
        <w:tc>
          <w:tcPr>
            <w:tcW w:type="dxa" w:w="2606"/>
            <w:tcW w:w="2200" w:type="dxa"/>
            <w:shd w:val="clear" w:color="auto" w:fill="1F3864"/>
            <w:vAlign w:val="center"/>
          </w:tcPr>
          <w:p>
            <w:pPr>
              <w:spacing w:after="20" w:before="20"/>
              <w:jc w:val="center"/>
            </w:pPr>
            <w:r/>
            <w:r>
              <w:rPr>
                <w:rFonts w:ascii="Calibri" w:hAnsi="Calibri"/>
                <w:b/>
                <w:i w:val="0"/>
                <w:color w:val="FFFFFF"/>
                <w:sz w:val="18"/>
              </w:rPr>
              <w:t>Count</w:t>
            </w:r>
          </w:p>
        </w:tc>
        <w:tc>
          <w:tcPr>
            <w:tcW w:type="dxa" w:w="2606"/>
            <w:tcW w:w="2600" w:type="dxa"/>
            <w:shd w:val="clear" w:color="auto" w:fill="1F3864"/>
            <w:vAlign w:val="center"/>
          </w:tcPr>
          <w:p>
            <w:pPr>
              <w:spacing w:after="20" w:before="20"/>
              <w:jc w:val="center"/>
            </w:pPr>
            <w:r/>
            <w:r>
              <w:rPr>
                <w:rFonts w:ascii="Calibri" w:hAnsi="Calibri"/>
                <w:b/>
                <w:i w:val="0"/>
                <w:color w:val="FFFFFF"/>
                <w:sz w:val="18"/>
              </w:rPr>
              <w:t>Loss / leakage</w:t>
            </w:r>
          </w:p>
        </w:tc>
        <w:tc>
          <w:tcPr>
            <w:tcW w:type="dxa" w:w="2606"/>
            <w:tcW w:w="2200" w:type="dxa"/>
            <w:shd w:val="clear" w:color="auto" w:fill="1F3864"/>
            <w:vAlign w:val="center"/>
          </w:tcPr>
          <w:p>
            <w:pPr>
              <w:spacing w:after="20" w:before="20"/>
              <w:jc w:val="center"/>
            </w:pPr>
            <w:r/>
            <w:r>
              <w:rPr>
                <w:rFonts w:ascii="Calibri" w:hAnsi="Calibri"/>
                <w:b/>
                <w:i w:val="0"/>
                <w:color w:val="FFFFFF"/>
                <w:sz w:val="18"/>
              </w:rPr>
              <w:t>Conversion</w:t>
            </w:r>
          </w:p>
        </w:tc>
        <w:tc>
          <w:tcPr>
            <w:tcW w:type="dxa" w:w="2606"/>
            <w:tcW w:w="2638" w:type="dxa"/>
            <w:shd w:val="clear" w:color="auto" w:fill="1F3864"/>
            <w:vAlign w:val="center"/>
          </w:tcPr>
          <w:p>
            <w:pPr>
              <w:spacing w:after="20" w:before="20"/>
              <w:jc w:val="center"/>
            </w:pPr>
            <w:r/>
            <w:r>
              <w:rPr>
                <w:rFonts w:ascii="Calibri" w:hAnsi="Calibri"/>
                <w:b/>
                <w:i w:val="0"/>
                <w:color w:val="FFFFFF"/>
                <w:sz w:val="18"/>
              </w:rPr>
              <w:t>Auditor remark</w:t>
            </w:r>
          </w:p>
        </w:tc>
      </w:tr>
      <w:tr>
        <w:tc>
          <w:tcPr>
            <w:tcW w:type="dxa" w:w="3400"/>
            <w:tcW w:w="3400" w:type="dxa"/>
          </w:tcPr>
          <w:p>
            <w:pPr>
              <w:spacing w:after="20" w:before="20"/>
            </w:pPr>
            <w:r/>
            <w:r>
              <w:rPr>
                <w:rFonts w:ascii="Calibri" w:hAnsi="Calibri"/>
                <w:b/>
                <w:i w:val="0"/>
                <w:sz w:val="16"/>
              </w:rPr>
              <w:t>Enquiries received</w:t>
            </w:r>
          </w:p>
        </w:tc>
        <w:tc>
          <w:tcPr>
            <w:tcW w:type="dxa" w:w="2600"/>
            <w:tcW w:w="2600" w:type="dxa"/>
          </w:tcPr>
          <w:p>
            <w:pPr>
              <w:spacing w:after="20" w:before="20"/>
            </w:pPr>
            <w:r/>
            <w:r>
              <w:rPr>
                <w:rFonts w:ascii="Calibri" w:hAnsi="Calibri"/>
                <w:b w:val="0"/>
                <w:i w:val="0"/>
                <w:sz w:val="16"/>
              </w:rPr>
              <w:t>—</w:t>
            </w:r>
          </w:p>
        </w:tc>
        <w:tc>
          <w:tcPr>
            <w:tcW w:type="dxa" w:w="2200"/>
            <w:tcW w:w="2200" w:type="dxa"/>
          </w:tcPr>
          <w:p>
            <w:pPr>
              <w:spacing w:after="20" w:before="20"/>
            </w:pPr>
            <w:r/>
            <w:r>
              <w:rPr>
                <w:rFonts w:ascii="Calibri" w:hAnsi="Calibri"/>
                <w:b w:val="0"/>
                <w:i w:val="0"/>
                <w:sz w:val="16"/>
              </w:rPr>
              <w:t>441</w:t>
            </w:r>
          </w:p>
        </w:tc>
        <w:tc>
          <w:tcPr>
            <w:tcW w:type="dxa" w:w="2600"/>
            <w:tcW w:w="2600" w:type="dxa"/>
          </w:tcPr>
          <w:p>
            <w:pPr>
              <w:spacing w:after="20" w:before="20"/>
            </w:pPr>
            <w:r/>
            <w:r>
              <w:rPr>
                <w:rFonts w:ascii="Calibri" w:hAnsi="Calibri"/>
                <w:b w:val="0"/>
                <w:i w:val="0"/>
                <w:sz w:val="16"/>
              </w:rPr>
              <w:t>—</w:t>
            </w:r>
          </w:p>
        </w:tc>
        <w:tc>
          <w:tcPr>
            <w:tcW w:type="dxa" w:w="2200"/>
            <w:tcW w:w="2200" w:type="dxa"/>
          </w:tcPr>
          <w:p>
            <w:pPr>
              <w:spacing w:after="20" w:before="20"/>
            </w:pPr>
            <w:r/>
            <w:r>
              <w:rPr>
                <w:rFonts w:ascii="Calibri" w:hAnsi="Calibri"/>
                <w:b w:val="0"/>
                <w:i w:val="0"/>
                <w:sz w:val="16"/>
              </w:rPr>
              <w:t>—</w:t>
            </w:r>
          </w:p>
        </w:tc>
        <w:tc>
          <w:tcPr>
            <w:tcW w:type="dxa" w:w="2638"/>
            <w:tcW w:w="2638" w:type="dxa"/>
          </w:tcPr>
          <w:p>
            <w:pPr>
              <w:spacing w:after="20" w:before="20"/>
            </w:pPr>
            <w:r/>
            <w:r>
              <w:rPr>
                <w:rFonts w:ascii="Calibri" w:hAnsi="Calibri"/>
                <w:b w:val="0"/>
                <w:i w:val="0"/>
                <w:sz w:val="16"/>
              </w:rPr>
              <w:t>Denominator for the funnel</w:t>
            </w:r>
          </w:p>
        </w:tc>
      </w:tr>
      <w:tr>
        <w:tc>
          <w:tcPr>
            <w:tcW w:type="dxa" w:w="3400"/>
            <w:tcW w:w="3400" w:type="dxa"/>
            <w:shd w:val="clear" w:color="auto" w:fill="F2F5FA"/>
          </w:tcPr>
          <w:p>
            <w:pPr>
              <w:spacing w:after="20" w:before="20"/>
            </w:pPr>
            <w:r/>
            <w:r>
              <w:rPr>
                <w:rFonts w:ascii="Calibri" w:hAnsi="Calibri"/>
                <w:b/>
                <w:i w:val="0"/>
                <w:sz w:val="16"/>
              </w:rPr>
              <w:t>Test drives completed</w:t>
            </w:r>
          </w:p>
        </w:tc>
        <w:tc>
          <w:tcPr>
            <w:tcW w:type="dxa" w:w="2600"/>
            <w:tcW w:w="2600" w:type="dxa"/>
            <w:shd w:val="clear" w:color="auto" w:fill="F2F5FA"/>
          </w:tcPr>
          <w:p>
            <w:pPr>
              <w:spacing w:after="20" w:before="20"/>
            </w:pPr>
            <w:r/>
            <w:r>
              <w:rPr>
                <w:rFonts w:ascii="Calibri" w:hAnsi="Calibri"/>
                <w:b w:val="0"/>
                <w:i w:val="0"/>
                <w:sz w:val="16"/>
              </w:rPr>
              <w:t>Walk-in ≥80% / Digital ≥40%</w:t>
            </w:r>
          </w:p>
        </w:tc>
        <w:tc>
          <w:tcPr>
            <w:tcW w:type="dxa" w:w="2200"/>
            <w:tcW w:w="2200" w:type="dxa"/>
            <w:shd w:val="clear" w:color="auto" w:fill="F2F5FA"/>
          </w:tcPr>
          <w:p>
            <w:pPr>
              <w:spacing w:after="20" w:before="20"/>
            </w:pPr>
            <w:r/>
            <w:r>
              <w:rPr>
                <w:rFonts w:ascii="Calibri" w:hAnsi="Calibri"/>
                <w:b w:val="0"/>
                <w:i w:val="0"/>
                <w:sz w:val="16"/>
              </w:rPr>
              <w:t>92</w:t>
            </w:r>
          </w:p>
        </w:tc>
        <w:tc>
          <w:tcPr>
            <w:tcW w:type="dxa" w:w="2600"/>
            <w:tcW w:w="2600" w:type="dxa"/>
            <w:shd w:val="clear" w:color="auto" w:fill="F2F5FA"/>
          </w:tcPr>
          <w:p>
            <w:pPr>
              <w:spacing w:after="20" w:before="20"/>
            </w:pPr>
            <w:r/>
            <w:r>
              <w:rPr>
                <w:rFonts w:ascii="Calibri" w:hAnsi="Calibri"/>
                <w:b w:val="0"/>
                <w:i w:val="0"/>
                <w:sz w:val="16"/>
              </w:rPr>
              <w:t>20 cancelled or open</w:t>
            </w:r>
          </w:p>
        </w:tc>
        <w:tc>
          <w:tcPr>
            <w:tcW w:type="dxa" w:w="2200"/>
            <w:tcW w:w="2200" w:type="dxa"/>
            <w:shd w:val="clear" w:color="auto" w:fill="F2F5FA"/>
          </w:tcPr>
          <w:p>
            <w:pPr>
              <w:spacing w:after="20" w:before="20"/>
            </w:pPr>
            <w:r/>
            <w:r>
              <w:rPr>
                <w:rFonts w:ascii="Calibri" w:hAnsi="Calibri"/>
                <w:b w:val="0"/>
                <w:i w:val="0"/>
                <w:sz w:val="16"/>
              </w:rPr>
              <w:t>20.9% of enquiries</w:t>
            </w:r>
          </w:p>
        </w:tc>
        <w:tc>
          <w:tcPr>
            <w:tcW w:type="dxa" w:w="2638"/>
            <w:tcW w:w="2638" w:type="dxa"/>
            <w:shd w:val="clear" w:color="auto" w:fill="F2F5FA"/>
          </w:tcPr>
          <w:p>
            <w:pPr>
              <w:spacing w:after="20" w:before="20"/>
            </w:pPr>
            <w:r/>
            <w:r>
              <w:rPr>
                <w:rFonts w:ascii="Calibri" w:hAnsi="Calibri"/>
                <w:b w:val="0"/>
                <w:i w:val="0"/>
                <w:sz w:val="16"/>
              </w:rPr>
              <w:t>Against source-wise norms</w:t>
            </w:r>
          </w:p>
        </w:tc>
      </w:tr>
      <w:tr>
        <w:tc>
          <w:tcPr>
            <w:tcW w:type="dxa" w:w="3400"/>
            <w:tcW w:w="3400" w:type="dxa"/>
          </w:tcPr>
          <w:p>
            <w:pPr>
              <w:spacing w:after="20" w:before="20"/>
            </w:pPr>
            <w:r/>
            <w:r>
              <w:rPr>
                <w:rFonts w:ascii="Calibri" w:hAnsi="Calibri"/>
                <w:b/>
                <w:i w:val="0"/>
                <w:sz w:val="16"/>
              </w:rPr>
              <w:t>Bookings created</w:t>
            </w:r>
          </w:p>
        </w:tc>
        <w:tc>
          <w:tcPr>
            <w:tcW w:type="dxa" w:w="2600"/>
            <w:tcW w:w="2600" w:type="dxa"/>
          </w:tcPr>
          <w:p>
            <w:pPr>
              <w:spacing w:after="20" w:before="20"/>
            </w:pPr>
            <w:r/>
            <w:r>
              <w:rPr>
                <w:rFonts w:ascii="Calibri" w:hAnsi="Calibri"/>
                <w:b w:val="0"/>
                <w:i w:val="0"/>
                <w:sz w:val="16"/>
              </w:rPr>
              <w:t>≥50% of test drives</w:t>
            </w:r>
          </w:p>
        </w:tc>
        <w:tc>
          <w:tcPr>
            <w:tcW w:type="dxa" w:w="2200"/>
            <w:tcW w:w="2200" w:type="dxa"/>
          </w:tcPr>
          <w:p>
            <w:pPr>
              <w:spacing w:after="20" w:before="20"/>
            </w:pPr>
            <w:r/>
            <w:r>
              <w:rPr>
                <w:rFonts w:ascii="Calibri" w:hAnsi="Calibri"/>
                <w:b w:val="0"/>
                <w:i w:val="0"/>
                <w:sz w:val="16"/>
              </w:rPr>
              <w:t>59</w:t>
            </w:r>
          </w:p>
        </w:tc>
        <w:tc>
          <w:tcPr>
            <w:tcW w:type="dxa" w:w="2600"/>
            <w:tcW w:w="2600" w:type="dxa"/>
          </w:tcPr>
          <w:p>
            <w:pPr>
              <w:spacing w:after="20" w:before="20"/>
            </w:pPr>
            <w:r/>
            <w:r>
              <w:rPr>
                <w:rFonts w:ascii="Calibri" w:hAnsi="Calibri"/>
                <w:b w:val="0"/>
                <w:i w:val="0"/>
                <w:sz w:val="16"/>
              </w:rPr>
              <w:t>—</w:t>
            </w:r>
          </w:p>
        </w:tc>
        <w:tc>
          <w:tcPr>
            <w:tcW w:type="dxa" w:w="2200"/>
            <w:tcW w:w="2200" w:type="dxa"/>
          </w:tcPr>
          <w:p>
            <w:pPr>
              <w:spacing w:after="20" w:before="20"/>
            </w:pPr>
            <w:r/>
            <w:r>
              <w:rPr>
                <w:rFonts w:ascii="Calibri" w:hAnsi="Calibri"/>
                <w:b w:val="0"/>
                <w:i w:val="0"/>
                <w:sz w:val="16"/>
              </w:rPr>
              <w:t>64.1% of completed TDs</w:t>
            </w:r>
          </w:p>
        </w:tc>
        <w:tc>
          <w:tcPr>
            <w:tcW w:type="dxa" w:w="2638"/>
            <w:tcW w:w="2638" w:type="dxa"/>
          </w:tcPr>
          <w:p>
            <w:pPr>
              <w:spacing w:after="20" w:before="20"/>
            </w:pPr>
            <w:r/>
            <w:r>
              <w:rPr>
                <w:rFonts w:ascii="Calibri" w:hAnsi="Calibri"/>
                <w:b w:val="0"/>
                <w:i w:val="0"/>
                <w:sz w:val="16"/>
              </w:rPr>
            </w:r>
          </w:p>
        </w:tc>
      </w:tr>
      <w:tr>
        <w:tc>
          <w:tcPr>
            <w:tcW w:type="dxa" w:w="3400"/>
            <w:tcW w:w="3400" w:type="dxa"/>
            <w:shd w:val="clear" w:color="auto" w:fill="F2F5FA"/>
          </w:tcPr>
          <w:p>
            <w:pPr>
              <w:spacing w:after="20" w:before="20"/>
            </w:pPr>
            <w:r/>
            <w:r>
              <w:rPr>
                <w:rFonts w:ascii="Calibri" w:hAnsi="Calibri"/>
                <w:b/>
                <w:i w:val="0"/>
                <w:sz w:val="16"/>
              </w:rPr>
              <w:t>Retails invoiced</w:t>
            </w:r>
          </w:p>
        </w:tc>
        <w:tc>
          <w:tcPr>
            <w:tcW w:type="dxa" w:w="2600"/>
            <w:tcW w:w="2600" w:type="dxa"/>
            <w:shd w:val="clear" w:color="auto" w:fill="F2F5FA"/>
          </w:tcPr>
          <w:p>
            <w:pPr>
              <w:spacing w:after="20" w:before="20"/>
            </w:pPr>
            <w:r/>
            <w:r>
              <w:rPr>
                <w:rFonts w:ascii="Calibri" w:hAnsi="Calibri"/>
                <w:b w:val="0"/>
                <w:i w:val="0"/>
                <w:sz w:val="16"/>
              </w:rPr>
              <w:t>≥90% of bookings</w:t>
            </w:r>
          </w:p>
        </w:tc>
        <w:tc>
          <w:tcPr>
            <w:tcW w:type="dxa" w:w="2200"/>
            <w:tcW w:w="2200" w:type="dxa"/>
            <w:shd w:val="clear" w:color="auto" w:fill="F2F5FA"/>
          </w:tcPr>
          <w:p>
            <w:pPr>
              <w:spacing w:after="20" w:before="20"/>
            </w:pPr>
            <w:r/>
            <w:r>
              <w:rPr>
                <w:rFonts w:ascii="Calibri" w:hAnsi="Calibri"/>
                <w:b w:val="0"/>
                <w:i w:val="0"/>
                <w:sz w:val="16"/>
              </w:rPr>
              <w:t>30</w:t>
            </w:r>
          </w:p>
        </w:tc>
        <w:tc>
          <w:tcPr>
            <w:tcW w:type="dxa" w:w="2600"/>
            <w:tcW w:w="2600" w:type="dxa"/>
            <w:shd w:val="clear" w:color="auto" w:fill="F2F5FA"/>
          </w:tcPr>
          <w:p>
            <w:pPr>
              <w:spacing w:after="20" w:before="20"/>
            </w:pPr>
            <w:r/>
            <w:r>
              <w:rPr>
                <w:rFonts w:ascii="Calibri" w:hAnsi="Calibri"/>
                <w:b w:val="0"/>
                <w:i w:val="0"/>
                <w:sz w:val="16"/>
              </w:rPr>
              <w:t>3 invoices cancelled</w:t>
            </w:r>
          </w:p>
        </w:tc>
        <w:tc>
          <w:tcPr>
            <w:tcW w:type="dxa" w:w="2200"/>
            <w:tcW w:w="2200" w:type="dxa"/>
            <w:shd w:val="clear" w:color="auto" w:fill="F2F5FA"/>
          </w:tcPr>
          <w:p>
            <w:pPr>
              <w:spacing w:after="20" w:before="20"/>
            </w:pPr>
            <w:r/>
            <w:r>
              <w:rPr>
                <w:rFonts w:ascii="Calibri" w:hAnsi="Calibri"/>
                <w:b w:val="0"/>
                <w:i w:val="0"/>
                <w:sz w:val="16"/>
              </w:rPr>
              <w:t>50.8% of bookings</w:t>
            </w:r>
          </w:p>
        </w:tc>
        <w:tc>
          <w:tcPr>
            <w:tcW w:type="dxa" w:w="2638"/>
            <w:tcW w:w="2638" w:type="dxa"/>
            <w:shd w:val="clear" w:color="auto" w:fill="F2F5FA"/>
          </w:tcPr>
          <w:p>
            <w:pPr>
              <w:spacing w:after="20" w:before="20"/>
            </w:pPr>
            <w:r/>
            <w:r>
              <w:rPr>
                <w:rFonts w:ascii="Calibri" w:hAnsi="Calibri"/>
                <w:b w:val="0"/>
                <w:i w:val="0"/>
                <w:sz w:val="16"/>
              </w:rPr>
              <w:t>29 bookings unconverted</w:t>
            </w:r>
          </w:p>
        </w:tc>
      </w:tr>
      <w:tr>
        <w:tc>
          <w:tcPr>
            <w:tcW w:type="dxa" w:w="3400"/>
            <w:tcW w:w="3400" w:type="dxa"/>
          </w:tcPr>
          <w:p>
            <w:pPr>
              <w:spacing w:after="20" w:before="20"/>
            </w:pPr>
            <w:r/>
            <w:r>
              <w:rPr>
                <w:rFonts w:ascii="Calibri" w:hAnsi="Calibri"/>
                <w:b/>
                <w:i w:val="0"/>
                <w:sz w:val="16"/>
              </w:rPr>
              <w:t>Net enquiry to retail</w:t>
            </w:r>
          </w:p>
        </w:tc>
        <w:tc>
          <w:tcPr>
            <w:tcW w:type="dxa" w:w="2600"/>
            <w:tcW w:w="2600" w:type="dxa"/>
          </w:tcPr>
          <w:p>
            <w:pPr>
              <w:spacing w:after="20" w:before="20"/>
            </w:pPr>
            <w:r/>
            <w:r>
              <w:rPr>
                <w:rFonts w:ascii="Calibri" w:hAnsi="Calibri"/>
                <w:b w:val="0"/>
                <w:i w:val="0"/>
                <w:sz w:val="16"/>
              </w:rPr>
              <w:t>≥25%</w:t>
            </w:r>
          </w:p>
        </w:tc>
        <w:tc>
          <w:tcPr>
            <w:tcW w:type="dxa" w:w="2200"/>
            <w:tcW w:w="2200" w:type="dxa"/>
          </w:tcPr>
          <w:p>
            <w:pPr>
              <w:spacing w:after="20" w:before="20"/>
            </w:pPr>
            <w:r/>
            <w:r>
              <w:rPr>
                <w:rFonts w:ascii="Calibri" w:hAnsi="Calibri"/>
                <w:b w:val="0"/>
                <w:i w:val="0"/>
                <w:sz w:val="16"/>
              </w:rPr>
              <w:t>—</w:t>
            </w:r>
          </w:p>
        </w:tc>
        <w:tc>
          <w:tcPr>
            <w:tcW w:type="dxa" w:w="2600"/>
            <w:tcW w:w="2600" w:type="dxa"/>
          </w:tcPr>
          <w:p>
            <w:pPr>
              <w:spacing w:after="20" w:before="20"/>
            </w:pPr>
            <w:r/>
            <w:r>
              <w:rPr>
                <w:rFonts w:ascii="Calibri" w:hAnsi="Calibri"/>
                <w:b w:val="0"/>
                <w:i w:val="0"/>
                <w:sz w:val="16"/>
              </w:rPr>
              <w:t>—</w:t>
            </w:r>
          </w:p>
        </w:tc>
        <w:tc>
          <w:tcPr>
            <w:tcW w:type="dxa" w:w="2200"/>
            <w:tcW w:w="2200" w:type="dxa"/>
          </w:tcPr>
          <w:p>
            <w:pPr>
              <w:spacing w:after="20" w:before="20"/>
            </w:pPr>
            <w:r/>
            <w:r>
              <w:rPr>
                <w:rFonts w:ascii="Calibri" w:hAnsi="Calibri"/>
                <w:b w:val="0"/>
                <w:i w:val="0"/>
                <w:sz w:val="16"/>
              </w:rPr>
              <w:t>6.8%</w:t>
            </w:r>
          </w:p>
        </w:tc>
        <w:tc>
          <w:tcPr>
            <w:tcW w:type="dxa" w:w="2638"/>
            <w:tcW w:w="2638" w:type="dxa"/>
          </w:tcPr>
          <w:p>
            <w:pPr>
              <w:spacing w:after="20" w:before="20"/>
            </w:pPr>
            <w:r/>
            <w:r>
              <w:rPr>
                <w:rFonts w:ascii="Calibri" w:hAnsi="Calibri"/>
                <w:b w:val="0"/>
                <w:i w:val="0"/>
                <w:sz w:val="16"/>
              </w:rPr>
              <w:t>End-to-end conversion</w:t>
            </w:r>
          </w:p>
        </w:tc>
      </w:tr>
      <w:tr>
        <w:tc>
          <w:tcPr>
            <w:tcW w:type="dxa" w:w="3400"/>
            <w:tcW w:w="3400" w:type="dxa"/>
            <w:shd w:val="clear" w:color="auto" w:fill="F2F5FA"/>
          </w:tcPr>
          <w:p>
            <w:pPr>
              <w:spacing w:after="20" w:before="20"/>
            </w:pPr>
            <w:r/>
            <w:r>
              <w:rPr>
                <w:rFonts w:ascii="Calibri" w:hAnsi="Calibri"/>
                <w:b/>
                <w:i w:val="0"/>
                <w:sz w:val="16"/>
              </w:rPr>
              <w:t>Delivery notes raised</w:t>
            </w:r>
          </w:p>
        </w:tc>
        <w:tc>
          <w:tcPr>
            <w:tcW w:type="dxa" w:w="2600"/>
            <w:tcW w:w="2600" w:type="dxa"/>
            <w:shd w:val="clear" w:color="auto" w:fill="F2F5FA"/>
          </w:tcPr>
          <w:p>
            <w:pPr>
              <w:spacing w:after="20" w:before="20"/>
            </w:pPr>
            <w:r/>
            <w:r>
              <w:rPr>
                <w:rFonts w:ascii="Calibri" w:hAnsi="Calibri"/>
                <w:b w:val="0"/>
                <w:i w:val="0"/>
                <w:sz w:val="16"/>
              </w:rPr>
              <w:t>100% of invoices</w:t>
            </w:r>
          </w:p>
        </w:tc>
        <w:tc>
          <w:tcPr>
            <w:tcW w:type="dxa" w:w="2200"/>
            <w:tcW w:w="2200" w:type="dxa"/>
            <w:shd w:val="clear" w:color="auto" w:fill="F2F5FA"/>
          </w:tcPr>
          <w:p>
            <w:pPr>
              <w:spacing w:after="20" w:before="20"/>
            </w:pPr>
            <w:r/>
            <w:r>
              <w:rPr>
                <w:rFonts w:ascii="Calibri" w:hAnsi="Calibri"/>
                <w:b w:val="0"/>
                <w:i w:val="0"/>
                <w:sz w:val="16"/>
              </w:rPr>
              <w:t>9</w:t>
            </w:r>
          </w:p>
        </w:tc>
        <w:tc>
          <w:tcPr>
            <w:tcW w:type="dxa" w:w="2600"/>
            <w:tcW w:w="2600" w:type="dxa"/>
            <w:shd w:val="clear" w:color="auto" w:fill="F2F5FA"/>
          </w:tcPr>
          <w:p>
            <w:pPr>
              <w:spacing w:after="20" w:before="20"/>
            </w:pPr>
            <w:r/>
            <w:r>
              <w:rPr>
                <w:rFonts w:ascii="Calibri" w:hAnsi="Calibri"/>
                <w:b w:val="0"/>
                <w:i w:val="0"/>
                <w:sz w:val="16"/>
              </w:rPr>
              <w:t>21 missing</w:t>
            </w:r>
          </w:p>
        </w:tc>
        <w:tc>
          <w:tcPr>
            <w:tcW w:type="dxa" w:w="2200"/>
            <w:tcW w:w="2200" w:type="dxa"/>
            <w:shd w:val="clear" w:color="auto" w:fill="F2F5FA"/>
          </w:tcPr>
          <w:p>
            <w:pPr>
              <w:spacing w:after="20" w:before="20"/>
            </w:pPr>
            <w:r/>
            <w:r>
              <w:rPr>
                <w:rFonts w:ascii="Calibri" w:hAnsi="Calibri"/>
                <w:b w:val="0"/>
                <w:i w:val="0"/>
                <w:sz w:val="16"/>
              </w:rPr>
              <w:t>30.0%</w:t>
            </w:r>
          </w:p>
        </w:tc>
        <w:tc>
          <w:tcPr>
            <w:tcW w:type="dxa" w:w="2638"/>
            <w:tcW w:w="2638" w:type="dxa"/>
            <w:shd w:val="clear" w:color="auto" w:fill="F2F5FA"/>
          </w:tcPr>
          <w:p>
            <w:pPr>
              <w:spacing w:after="20" w:before="20"/>
            </w:pPr>
            <w:r/>
            <w:r>
              <w:rPr>
                <w:rFonts w:ascii="Calibri" w:hAnsi="Calibri"/>
                <w:b w:val="0"/>
                <w:i w:val="0"/>
                <w:sz w:val="16"/>
              </w:rPr>
            </w:r>
          </w:p>
        </w:tc>
      </w:tr>
    </w:tbl>
    <w:p>
      <w:r>
        <w:br w:type="page"/>
      </w:r>
    </w:p>
    <w:p>
      <w:pPr>
        <w:spacing w:before="240" w:after="100"/>
        <w:pBdr>
          <w:bottom w:val="single" w:sz="8" w:color="1F3864" w:space="2"/>
        </w:pBdr>
      </w:pPr>
      <w:r>
        <w:rPr>
          <w:rFonts w:ascii="Calibri" w:hAnsi="Calibri"/>
          <w:b/>
          <w:color w:val="1F3864"/>
          <w:sz w:val="26"/>
        </w:rPr>
        <w:t>Section D — Auditor observations</w:t>
      </w:r>
    </w:p>
    <w:p>
      <w:pPr>
        <w:spacing w:after="80"/>
      </w:pPr>
      <w:r>
        <w:rPr>
          <w:rFonts w:ascii="Calibri" w:hAnsi="Calibri"/>
          <w:b/>
          <w:sz w:val="18"/>
        </w:rPr>
        <w:t xml:space="preserve">Scope. </w:t>
      </w:r>
      <w:r>
        <w:rPr>
          <w:rFonts w:ascii="Calibri" w:hAnsi="Calibri"/>
          <w:b w:val="0"/>
          <w:sz w:val="18"/>
        </w:rPr>
        <w:t>01-Aug-2026 to 29-Aug-2026, 11 branches, full population across every funnel stage: 441 enquiries · 92 test drives · 59 bookings · 30 retails. 58.8 of 100 weightage points were auditable from the data supplied; the remainder are listed as not scored with the missing file named.</w:t>
      </w:r>
    </w:p>
    <w:p>
      <w:pPr>
        <w:spacing w:after="40"/>
      </w:pPr>
      <w:r>
        <w:rPr>
          <w:rFonts w:ascii="Calibri" w:hAnsi="Calibri"/>
          <w:b/>
          <w:sz w:val="18"/>
        </w:rPr>
        <w:t>Strengths observed</w:t>
      </w:r>
    </w:p>
    <w:p>
      <w:pPr>
        <w:pStyle w:val="ListBullet"/>
        <w:spacing w:after="20"/>
      </w:pPr>
      <w:r>
        <w:rPr>
          <w:rFonts w:ascii="Calibri" w:hAnsi="Calibri"/>
          <w:sz w:val="18"/>
        </w:rPr>
        <w:t>Enquiry volume against target — 441 enquiries in the audit period (0.94 months) (100% of norm). [1.1]</w:t>
      </w:r>
    </w:p>
    <w:p>
      <w:pPr>
        <w:pStyle w:val="ListBullet"/>
        <w:spacing w:after="20"/>
      </w:pPr>
      <w:r>
        <w:rPr>
          <w:rFonts w:ascii="Calibri" w:hAnsi="Calibri"/>
          <w:sz w:val="18"/>
        </w:rPr>
        <w:t>Test drive to booking — 59 bookings from 92 completed test drives = 64.1% (100% of norm). [2.2]</w:t>
      </w:r>
    </w:p>
    <w:p>
      <w:pPr>
        <w:pStyle w:val="ListBullet"/>
        <w:spacing w:after="20"/>
      </w:pPr>
      <w:r>
        <w:rPr>
          <w:rFonts w:ascii="Calibri" w:hAnsi="Calibri"/>
          <w:sz w:val="18"/>
        </w:rPr>
        <w:t>Retail against target — 30 invoiced, 3 cancelled (9.1%) (100% of norm). [3.1]</w:t>
      </w:r>
    </w:p>
    <w:p>
      <w:pPr>
        <w:pStyle w:val="ListBullet"/>
        <w:spacing w:after="20"/>
      </w:pPr>
      <w:r>
        <w:rPr>
          <w:rFonts w:ascii="Calibri" w:hAnsi="Calibri"/>
          <w:sz w:val="18"/>
        </w:rPr>
        <w:t>Booking against target — 59 recorded over 0.74 months (100% of norm). [3.6]</w:t>
      </w:r>
    </w:p>
    <w:p>
      <w:pPr>
        <w:pStyle w:val="ListBullet"/>
        <w:spacing w:after="20"/>
      </w:pPr>
      <w:r>
        <w:rPr>
          <w:rFonts w:ascii="Calibri" w:hAnsi="Calibri"/>
          <w:sz w:val="18"/>
        </w:rPr>
        <w:t>VIN allotment to invoice TAT — median 0 days; 0 units (0.0%) beyond 7 days, longest 1 (100% of norm). [5.3]</w:t>
      </w:r>
    </w:p>
    <w:p>
      <w:pPr>
        <w:pStyle w:val="ListBullet"/>
        <w:spacing w:after="20"/>
      </w:pPr>
      <w:r>
        <w:rPr>
          <w:rFonts w:ascii="Calibri" w:hAnsi="Calibri"/>
          <w:sz w:val="18"/>
        </w:rPr>
        <w:t>Booking-to-retail chain fully traceable: booking number present on 100.0% of invoices.</w:t>
      </w:r>
    </w:p>
    <w:p>
      <w:pPr>
        <w:spacing w:after="40"/>
      </w:pPr>
      <w:r>
        <w:rPr>
          <w:rFonts w:ascii="Calibri" w:hAnsi="Calibri"/>
          <w:b/>
          <w:sz w:val="18"/>
        </w:rPr>
        <w:t>Critical findings</w:t>
      </w:r>
    </w:p>
    <w:p>
      <w:pPr>
        <w:pStyle w:val="ListBullet"/>
        <w:spacing w:after="20"/>
      </w:pPr>
      <w:r>
        <w:rPr>
          <w:rFonts w:ascii="Calibri" w:hAnsi="Calibri"/>
          <w:sz w:val="18"/>
        </w:rPr>
        <w:t>SHIELD (extended warranty) sold — Shield Scheme Reg ID: 0 of 30 invoices (0.0%). Value recorded: ₹0. Norm: Penetration norm to be confirmed. Achievement 0%. [6.2, source: Retails.xlsx › Export › Shield Scheme Reg ID, Shield Scheme Amount]</w:t>
      </w:r>
    </w:p>
    <w:p>
      <w:pPr>
        <w:pStyle w:val="ListBullet"/>
        <w:spacing w:after="20"/>
      </w:pPr>
      <w:r>
        <w:rPr>
          <w:rFonts w:ascii="Calibri" w:hAnsi="Calibri"/>
          <w:sz w:val="18"/>
        </w:rPr>
        <w:t>RSA policies sold — RSA Scheme Reg ID: 0 of 30 invoices (0.0%). Value recorded: ₹0. Norm: Penetration norm to be confirmed. Achievement 0%. [6.3, source: Retails.xlsx › Export › RSA Scheme Reg ID, RSA Scheme Amount]</w:t>
      </w:r>
    </w:p>
    <w:p>
      <w:pPr>
        <w:pStyle w:val="ListBullet"/>
        <w:spacing w:after="20"/>
      </w:pPr>
      <w:r>
        <w:rPr>
          <w:rFonts w:ascii="Calibri" w:hAnsi="Calibri"/>
          <w:sz w:val="18"/>
        </w:rPr>
        <w:t>Insurance penetration — Insurer recorded as a generic value on 30 of 30 (100.0%); insurance amount blank on 30 of 30. Norm: ≥85%. Achievement 0%. [6.6, source: Retails.xlsx › Export › Insurance Company Name, Insurance Amount]</w:t>
      </w:r>
    </w:p>
    <w:p>
      <w:pPr>
        <w:pStyle w:val="ListBullet"/>
        <w:spacing w:after="20"/>
      </w:pPr>
      <w:r>
        <w:rPr>
          <w:rFonts w:ascii="Calibri" w:hAnsi="Calibri"/>
          <w:sz w:val="18"/>
        </w:rPr>
        <w:t>Delivery commitment adherence — Promised delivery date populated on 0 of 30. Booking to invoice median 8 days; 1 (3.3%) beyond 30 days. Norm: Within committed date; booking to invoice ≤30 days. Achievement 0%. [7.5, source: Retails.xlsx › Export › Initial Promised Delivery date, Booking Date and Time]</w:t>
      </w:r>
    </w:p>
    <w:p>
      <w:pPr>
        <w:pStyle w:val="ListBullet"/>
        <w:spacing w:after="20"/>
      </w:pPr>
      <w:r>
        <w:rPr>
          <w:rFonts w:ascii="Calibri" w:hAnsi="Calibri"/>
          <w:sz w:val="18"/>
        </w:rPr>
        <w:t>Test drive vehicle recorded — Vehicle named on 0.0% of test drives; 1 branch(es) with no identified demo vehicle: CHIKHALI. Norm: 100% of test drives name a vehicle. Achievement 0%. [9.1, source: Test Drive.xlsx › FETB_EDP_v1_1 › TD Vehicle Name]</w:t>
      </w:r>
    </w:p>
    <w:p>
      <w:pPr>
        <w:pStyle w:val="ListBullet"/>
        <w:spacing w:after="20"/>
      </w:pPr>
      <w:r>
        <w:rPr>
          <w:rFonts w:ascii="Calibri" w:hAnsi="Calibri"/>
          <w:sz w:val="18"/>
        </w:rPr>
        <w:t>Lead response TAT — Assign date blank on 437 of 441 (99.1%). Of 4 dated records, 0 (0.0%) show assignment before enquiry creation. Norm: First contact within 30 minutes. Achievement 1%. [1.3, source: Enquiry.xlsx › FETB_EDP_v1_1 › Enq Assign Date, Enquiry Date]</w:t>
      </w:r>
    </w:p>
    <w:p>
      <w:pPr>
        <w:pStyle w:val="ListBullet"/>
        <w:spacing w:after="20"/>
      </w:pPr>
      <w:r>
        <w:rPr>
          <w:rFonts w:ascii="Calibri" w:hAnsi="Calibri"/>
          <w:sz w:val="18"/>
        </w:rPr>
        <w:t>Follow-up adherence — 275 enquiries (62.4%) with zero follow-up; 71.7% with no next planned date. Norm: No more than 10% of enquiries untouched. Achievement 16%. [8.2, source: Enquiry.xlsx › FETB_EDP_v1_1 › Completed Followup Count, Next Planned Followup]</w:t>
      </w:r>
    </w:p>
    <w:p>
      <w:pPr>
        <w:pStyle w:val="ListBullet"/>
        <w:spacing w:after="20"/>
      </w:pPr>
      <w:r>
        <w:rPr>
          <w:rFonts w:ascii="Calibri" w:hAnsi="Calibri"/>
          <w:sz w:val="18"/>
        </w:rPr>
        <w:t>DMS data hygiene — TD Vehicle Name blank 100.0%; RSA Scheme Reg ID blank 100.0%; Total Accessories Amount blank 100.0%; Initial Promised Delivery date blank 100.0%; Enquiry Sub Source blank 98.2%. Norm: All mandatory fields populated. Achievement 20%. [8.1, source: Enquiry.xlsx › FETB_EDP_v1_1; Test Drive.xlsx › FETB_EDP_v1_1; Retails.xlsx › Export]</w:t>
      </w:r>
    </w:p>
    <w:p>
      <w:pPr>
        <w:pStyle w:val="ListBullet"/>
        <w:spacing w:after="20"/>
      </w:pPr>
      <w:r>
        <w:rPr>
          <w:rFonts w:ascii="Calibri" w:hAnsi="Calibri"/>
          <w:sz w:val="18"/>
        </w:rPr>
        <w:t>Net enquiry to retail — 30 retails from 441 enquiries = 6.8%. Norm: ≥25%. Achievement 27%. [2.4, source: Enquiry.xlsx › FETB_EDP_v1_1 + Retails.xlsx › Export]</w:t>
      </w:r>
    </w:p>
    <w:p>
      <w:pPr>
        <w:pStyle w:val="ListBullet"/>
        <w:spacing w:after="20"/>
      </w:pPr>
      <w:r>
        <w:rPr>
          <w:rFonts w:ascii="Calibri" w:hAnsi="Calibri"/>
          <w:sz w:val="18"/>
        </w:rPr>
        <w:t>Productivity per consultant — 2.3 retails per consultant over 29 day(s); 1 consultants with nil retail. Norm: ≥8 retails per consultant per month. Achievement 29%. [4.2, source: Retails.xlsx › Export › SC Name]</w:t>
      </w:r>
    </w:p>
    <w:p>
      <w:pPr>
        <w:pStyle w:val="ListBullet"/>
        <w:spacing w:after="20"/>
      </w:pPr>
      <w:r>
        <w:rPr>
          <w:rFonts w:ascii="Calibri" w:hAnsi="Calibri"/>
          <w:sz w:val="18"/>
        </w:rPr>
        <w:t>Delivery documentation — Delivery note present on 9 of 30 invoiced units (30.0%). Norm: 100% of invoices. Achievement 30%. [7.4, source: Retails.xlsx › Export › Delivery Note Date]</w:t>
      </w:r>
    </w:p>
    <w:p>
      <w:pPr>
        <w:pStyle w:val="ListBullet"/>
        <w:spacing w:after="20"/>
      </w:pPr>
      <w:r>
        <w:rPr>
          <w:rFonts w:ascii="Calibri" w:hAnsi="Calibri"/>
          <w:sz w:val="18"/>
        </w:rPr>
        <w:t>Exchange penetration — Exchange on 3 of 30 = 10.0%. Norm: ≥25%. Achievement 40%. [6.7, source: Retails.xlsx › Export › Exchange Indicator]</w:t>
      </w:r>
    </w:p>
    <w:p>
      <w:pPr>
        <w:spacing w:after="40"/>
      </w:pPr>
      <w:r>
        <w:rPr>
          <w:rFonts w:ascii="Calibri" w:hAnsi="Calibri"/>
          <w:b/>
          <w:sz w:val="18"/>
        </w:rPr>
        <w:t>Branches requiring immediate attention</w:t>
      </w:r>
    </w:p>
    <w:p>
      <w:pPr>
        <w:pStyle w:val="ListBullet"/>
        <w:spacing w:after="20"/>
      </w:pPr>
      <w:r>
        <w:rPr>
          <w:rFonts w:ascii="Calibri" w:hAnsi="Calibri"/>
          <w:sz w:val="18"/>
        </w:rPr>
        <w:t>CHIKHALI — 441 enquiries, 92 test drives, 30 retails (6.8% net conversion)</w:t>
      </w:r>
    </w:p>
    <w:p>
      <w:pPr>
        <w:spacing w:before="240" w:after="100"/>
        <w:pBdr>
          <w:bottom w:val="single" w:sz="8" w:color="1F3864" w:space="2"/>
        </w:pBdr>
      </w:pPr>
      <w:r>
        <w:rPr>
          <w:rFonts w:ascii="Calibri" w:hAnsi="Calibri"/>
          <w:b/>
          <w:color w:val="1F3864"/>
          <w:sz w:val="26"/>
        </w:rPr>
        <w:t>Section E — Physical Audit Sheet</w:t>
      </w:r>
    </w:p>
    <w:p>
      <w:pPr>
        <w:spacing w:after="80"/>
      </w:pPr>
      <w:r>
        <w:rPr>
          <w:rFonts w:ascii="Calibri" w:hAnsi="Calibri"/>
          <w:b w:val="0"/>
          <w:sz w:val="18"/>
        </w:rPr>
        <w:t>Physical Audit Sheet not supplied, so pillar J is unscored. The sheet covers showroom ambience, display and demo vehicle status, uniform and grooming, the walk-in register and its reconciliation to DMS, follow-up discipline, the sales consultant kit (current price list, brochures, finance schemes, SHIELD and RSA tariff sheet), customer amenities, mandatory displays, the delivery bay, safety and statutory compliance, and performance visibility on the floor.</w:t>
      </w:r>
    </w:p>
    <w:p>
      <w:pPr>
        <w:spacing w:after="80"/>
      </w:pPr>
      <w:r>
        <w:rPr>
          <w:rFonts w:ascii="Calibri" w:hAnsi="Calibri"/>
          <w:b/>
          <w:sz w:val="18"/>
        </w:rPr>
        <w:t xml:space="preserve">To include it: </w:t>
      </w:r>
      <w:r>
        <w:rPr>
          <w:rFonts w:ascii="Calibri" w:hAnsi="Calibri"/>
          <w:b w:val="0"/>
          <w:sz w:val="18"/>
        </w:rPr>
        <w:t>run  python run_audit.py --make-sheet  (or use the Download button on the web app's upload page), complete one tab per branch during the showroom walk, then save the file as Physical_Audit_Sheet.xlsx in the input folder — or upload it in the same drop box as the DMS extracts. Pillar J is then scored.</w:t>
      </w:r>
    </w:p>
    <w:p>
      <w:r>
        <w:br w:type="page"/>
      </w:r>
    </w:p>
    <w:p>
      <w:pPr>
        <w:spacing w:before="240" w:after="100"/>
        <w:pBdr>
          <w:bottom w:val="single" w:sz="8" w:color="1F3864" w:space="2"/>
        </w:pBdr>
      </w:pPr>
      <w:r>
        <w:rPr>
          <w:rFonts w:ascii="Calibri" w:hAnsi="Calibri"/>
          <w:b/>
          <w:color w:val="1F3864"/>
          <w:sz w:val="26"/>
        </w:rPr>
        <w:t>Section F — Grading and governance</w:t>
      </w:r>
    </w:p>
    <w:tbl>
      <w:tblPr>
        <w:tblStyle w:val="TableGrid"/>
        <w:tblW w:type="auto" w:w="0"/>
        <w:tblLayout w:type="fixed"/>
        <w:tblLook w:firstColumn="1" w:firstRow="1" w:lastColumn="0" w:lastRow="0" w:noHBand="0" w:noVBand="1" w:val="04A0"/>
        <w:tblLayout w:type="fixed"/>
      </w:tblPr>
      <w:tblGrid>
        <w:gridCol w:w="2600"/>
        <w:gridCol w:w="3000"/>
        <w:gridCol w:w="3600"/>
        <w:gridCol w:w="6438"/>
      </w:tblGrid>
      <w:tr>
        <w:tc>
          <w:tcPr>
            <w:tcW w:type="dxa" w:w="3909"/>
            <w:tcW w:w="2600" w:type="dxa"/>
            <w:shd w:val="clear" w:color="auto" w:fill="1F3864"/>
            <w:vAlign w:val="center"/>
          </w:tcPr>
          <w:p>
            <w:pPr>
              <w:spacing w:after="20" w:before="20"/>
              <w:jc w:val="center"/>
            </w:pPr>
            <w:r/>
            <w:r>
              <w:rPr>
                <w:rFonts w:ascii="Calibri" w:hAnsi="Calibri"/>
                <w:b/>
                <w:i w:val="0"/>
                <w:color w:val="FFFFFF"/>
                <w:sz w:val="18"/>
              </w:rPr>
              <w:t>Process index</w:t>
            </w:r>
          </w:p>
        </w:tc>
        <w:tc>
          <w:tcPr>
            <w:tcW w:type="dxa" w:w="3909"/>
            <w:tcW w:w="3000" w:type="dxa"/>
            <w:shd w:val="clear" w:color="auto" w:fill="1F3864"/>
            <w:vAlign w:val="center"/>
          </w:tcPr>
          <w:p>
            <w:pPr>
              <w:spacing w:after="20" w:before="20"/>
              <w:jc w:val="center"/>
            </w:pPr>
            <w:r/>
            <w:r>
              <w:rPr>
                <w:rFonts w:ascii="Calibri" w:hAnsi="Calibri"/>
                <w:b/>
                <w:i w:val="0"/>
                <w:color w:val="FFFFFF"/>
                <w:sz w:val="18"/>
              </w:rPr>
              <w:t>Band</w:t>
            </w:r>
          </w:p>
        </w:tc>
        <w:tc>
          <w:tcPr>
            <w:tcW w:type="dxa" w:w="3909"/>
            <w:tcW w:w="3600" w:type="dxa"/>
            <w:shd w:val="clear" w:color="auto" w:fill="1F3864"/>
            <w:vAlign w:val="center"/>
          </w:tcPr>
          <w:p>
            <w:pPr>
              <w:spacing w:after="20" w:before="20"/>
              <w:jc w:val="center"/>
            </w:pPr>
            <w:r/>
            <w:r>
              <w:rPr>
                <w:rFonts w:ascii="Calibri" w:hAnsi="Calibri"/>
                <w:b/>
                <w:i w:val="0"/>
                <w:color w:val="FFFFFF"/>
                <w:sz w:val="18"/>
              </w:rPr>
              <w:t>Required response</w:t>
            </w:r>
          </w:p>
        </w:tc>
        <w:tc>
          <w:tcPr>
            <w:tcW w:type="dxa" w:w="3909"/>
            <w:tcW w:w="6438" w:type="dxa"/>
            <w:shd w:val="clear" w:color="auto" w:fill="1F3864"/>
            <w:vAlign w:val="center"/>
          </w:tcPr>
          <w:p>
            <w:pPr>
              <w:spacing w:after="20" w:before="20"/>
              <w:jc w:val="center"/>
            </w:pPr>
            <w:r/>
            <w:r>
              <w:rPr>
                <w:rFonts w:ascii="Calibri" w:hAnsi="Calibri"/>
                <w:b/>
                <w:i w:val="0"/>
                <w:color w:val="FFFFFF"/>
                <w:sz w:val="18"/>
              </w:rPr>
              <w:t>Governance action</w:t>
            </w:r>
          </w:p>
        </w:tc>
      </w:tr>
      <w:tr>
        <w:tc>
          <w:tcPr>
            <w:tcW w:type="dxa" w:w="2600"/>
            <w:tcW w:w="2600" w:type="dxa"/>
          </w:tcPr>
          <w:p>
            <w:pPr>
              <w:spacing w:after="20" w:before="20"/>
            </w:pPr>
            <w:r/>
            <w:r>
              <w:rPr>
                <w:rFonts w:ascii="Calibri" w:hAnsi="Calibri"/>
                <w:b w:val="0"/>
                <w:i w:val="0"/>
                <w:sz w:val="16"/>
              </w:rPr>
              <w:t>90 – 100</w:t>
            </w:r>
          </w:p>
        </w:tc>
        <w:tc>
          <w:tcPr>
            <w:tcW w:type="dxa" w:w="3000"/>
            <w:tcW w:w="3000" w:type="dxa"/>
          </w:tcPr>
          <w:p>
            <w:pPr>
              <w:spacing w:after="20" w:before="20"/>
            </w:pPr>
            <w:r/>
            <w:r>
              <w:rPr>
                <w:rFonts w:ascii="Calibri" w:hAnsi="Calibri"/>
                <w:b/>
                <w:i w:val="0"/>
                <w:sz w:val="16"/>
              </w:rPr>
              <w:t>Green — Healthy</w:t>
            </w:r>
          </w:p>
        </w:tc>
        <w:tc>
          <w:tcPr>
            <w:tcW w:type="dxa" w:w="3600"/>
            <w:tcW w:w="3600" w:type="dxa"/>
          </w:tcPr>
          <w:p>
            <w:pPr>
              <w:spacing w:after="20" w:before="20"/>
            </w:pPr>
            <w:r/>
            <w:r>
              <w:rPr>
                <w:rFonts w:ascii="Calibri" w:hAnsi="Calibri"/>
                <w:b w:val="0"/>
                <w:i w:val="0"/>
                <w:sz w:val="16"/>
              </w:rPr>
              <w:t>Sustain and benchmark</w:t>
            </w:r>
          </w:p>
        </w:tc>
        <w:tc>
          <w:tcPr>
            <w:tcW w:type="dxa" w:w="6438"/>
            <w:tcW w:w="6438" w:type="dxa"/>
          </w:tcPr>
          <w:p>
            <w:pPr>
              <w:spacing w:after="20" w:before="20"/>
            </w:pPr>
            <w:r/>
            <w:r>
              <w:rPr>
                <w:rFonts w:ascii="Calibri" w:hAnsi="Calibri"/>
                <w:b w:val="0"/>
                <w:i w:val="0"/>
                <w:sz w:val="16"/>
              </w:rPr>
              <w:t>Share practice with the region; next audit at normal cycle</w:t>
            </w:r>
          </w:p>
        </w:tc>
      </w:tr>
      <w:tr>
        <w:tc>
          <w:tcPr>
            <w:tcW w:type="dxa" w:w="2600"/>
            <w:tcW w:w="2600" w:type="dxa"/>
            <w:shd w:val="clear" w:color="auto" w:fill="F2F5FA"/>
          </w:tcPr>
          <w:p>
            <w:pPr>
              <w:spacing w:after="20" w:before="20"/>
            </w:pPr>
            <w:r/>
            <w:r>
              <w:rPr>
                <w:rFonts w:ascii="Calibri" w:hAnsi="Calibri"/>
                <w:b w:val="0"/>
                <w:i w:val="0"/>
                <w:sz w:val="16"/>
              </w:rPr>
              <w:t>75 – 89.9</w:t>
            </w:r>
          </w:p>
        </w:tc>
        <w:tc>
          <w:tcPr>
            <w:tcW w:type="dxa" w:w="3000"/>
            <w:tcW w:w="3000" w:type="dxa"/>
            <w:shd w:val="clear" w:color="auto" w:fill="F2F5FA"/>
          </w:tcPr>
          <w:p>
            <w:pPr>
              <w:spacing w:after="20" w:before="20"/>
            </w:pPr>
            <w:r/>
            <w:r>
              <w:rPr>
                <w:rFonts w:ascii="Calibri" w:hAnsi="Calibri"/>
                <w:b/>
                <w:i w:val="0"/>
                <w:sz w:val="16"/>
              </w:rPr>
              <w:t>Amber — Watch</w:t>
            </w:r>
          </w:p>
        </w:tc>
        <w:tc>
          <w:tcPr>
            <w:tcW w:type="dxa" w:w="3600"/>
            <w:tcW w:w="3600" w:type="dxa"/>
            <w:shd w:val="clear" w:color="auto" w:fill="F2F5FA"/>
          </w:tcPr>
          <w:p>
            <w:pPr>
              <w:spacing w:after="20" w:before="20"/>
            </w:pPr>
            <w:r/>
            <w:r>
              <w:rPr>
                <w:rFonts w:ascii="Calibri" w:hAnsi="Calibri"/>
                <w:b w:val="0"/>
                <w:i w:val="0"/>
                <w:sz w:val="16"/>
              </w:rPr>
              <w:t>Correct within 30 days</w:t>
            </w:r>
          </w:p>
        </w:tc>
        <w:tc>
          <w:tcPr>
            <w:tcW w:type="dxa" w:w="6438"/>
            <w:tcW w:w="6438" w:type="dxa"/>
            <w:shd w:val="clear" w:color="auto" w:fill="F2F5FA"/>
          </w:tcPr>
          <w:p>
            <w:pPr>
              <w:spacing w:after="20" w:before="20"/>
            </w:pPr>
            <w:r/>
            <w:r>
              <w:rPr>
                <w:rFonts w:ascii="Calibri" w:hAnsi="Calibri"/>
                <w:b w:val="0"/>
                <w:i w:val="0"/>
                <w:sz w:val="16"/>
              </w:rPr>
              <w:t>Sales GM to sign the corrective action plan</w:t>
            </w:r>
          </w:p>
        </w:tc>
      </w:tr>
      <w:tr>
        <w:tc>
          <w:tcPr>
            <w:tcW w:type="dxa" w:w="2600"/>
            <w:tcW w:w="2600" w:type="dxa"/>
          </w:tcPr>
          <w:p>
            <w:pPr>
              <w:spacing w:after="20" w:before="20"/>
            </w:pPr>
            <w:r/>
            <w:r>
              <w:rPr>
                <w:rFonts w:ascii="Calibri" w:hAnsi="Calibri"/>
                <w:b w:val="0"/>
                <w:i w:val="0"/>
                <w:sz w:val="16"/>
              </w:rPr>
              <w:t>60 – 74.9</w:t>
            </w:r>
          </w:p>
        </w:tc>
        <w:tc>
          <w:tcPr>
            <w:tcW w:type="dxa" w:w="3000"/>
            <w:tcW w:w="3000" w:type="dxa"/>
          </w:tcPr>
          <w:p>
            <w:pPr>
              <w:spacing w:after="20" w:before="20"/>
            </w:pPr>
            <w:r/>
            <w:r>
              <w:rPr>
                <w:rFonts w:ascii="Calibri" w:hAnsi="Calibri"/>
                <w:b/>
                <w:i w:val="0"/>
                <w:sz w:val="16"/>
              </w:rPr>
              <w:t>Orange — At risk</w:t>
            </w:r>
          </w:p>
        </w:tc>
        <w:tc>
          <w:tcPr>
            <w:tcW w:type="dxa" w:w="3600"/>
            <w:tcW w:w="3600" w:type="dxa"/>
          </w:tcPr>
          <w:p>
            <w:pPr>
              <w:spacing w:after="20" w:before="20"/>
            </w:pPr>
            <w:r/>
            <w:r>
              <w:rPr>
                <w:rFonts w:ascii="Calibri" w:hAnsi="Calibri"/>
                <w:b w:val="0"/>
                <w:i w:val="0"/>
                <w:sz w:val="16"/>
              </w:rPr>
              <w:t>Correct within 15 days</w:t>
            </w:r>
          </w:p>
        </w:tc>
        <w:tc>
          <w:tcPr>
            <w:tcW w:type="dxa" w:w="6438"/>
            <w:tcW w:w="6438" w:type="dxa"/>
          </w:tcPr>
          <w:p>
            <w:pPr>
              <w:spacing w:after="20" w:before="20"/>
            </w:pPr>
            <w:r/>
            <w:r>
              <w:rPr>
                <w:rFonts w:ascii="Calibri" w:hAnsi="Calibri"/>
                <w:b w:val="0"/>
                <w:i w:val="0"/>
                <w:sz w:val="16"/>
              </w:rPr>
              <w:t>Weekly tracking by area sales manager until index crosses 75</w:t>
            </w:r>
          </w:p>
        </w:tc>
      </w:tr>
      <w:tr>
        <w:tc>
          <w:tcPr>
            <w:tcW w:type="dxa" w:w="2600"/>
            <w:tcW w:w="2600" w:type="dxa"/>
            <w:shd w:val="clear" w:color="auto" w:fill="F2F5FA"/>
            <w:shd w:val="clear" w:color="auto" w:fill="FFC7CE"/>
          </w:tcPr>
          <w:p>
            <w:pPr>
              <w:spacing w:after="20" w:before="20"/>
            </w:pPr>
            <w:r/>
            <w:r>
              <w:rPr>
                <w:rFonts w:ascii="Calibri" w:hAnsi="Calibri"/>
                <w:b w:val="0"/>
                <w:i w:val="0"/>
                <w:sz w:val="16"/>
              </w:rPr>
              <w:t>0 – 59.9</w:t>
            </w:r>
          </w:p>
        </w:tc>
        <w:tc>
          <w:tcPr>
            <w:tcW w:type="dxa" w:w="3000"/>
            <w:tcW w:w="3000" w:type="dxa"/>
            <w:shd w:val="clear" w:color="auto" w:fill="F2F5FA"/>
            <w:shd w:val="clear" w:color="auto" w:fill="FFC7CE"/>
          </w:tcPr>
          <w:p>
            <w:pPr>
              <w:spacing w:after="20" w:before="20"/>
            </w:pPr>
            <w:r/>
            <w:r>
              <w:rPr>
                <w:rFonts w:ascii="Calibri" w:hAnsi="Calibri"/>
                <w:b/>
                <w:i w:val="0"/>
                <w:sz w:val="16"/>
              </w:rPr>
              <w:t>Red — Critical</w:t>
            </w:r>
          </w:p>
        </w:tc>
        <w:tc>
          <w:tcPr>
            <w:tcW w:type="dxa" w:w="3600"/>
            <w:tcW w:w="3600" w:type="dxa"/>
            <w:shd w:val="clear" w:color="auto" w:fill="F2F5FA"/>
            <w:shd w:val="clear" w:color="auto" w:fill="FFC7CE"/>
          </w:tcPr>
          <w:p>
            <w:pPr>
              <w:spacing w:after="20" w:before="20"/>
            </w:pPr>
            <w:r/>
            <w:r>
              <w:rPr>
                <w:rFonts w:ascii="Calibri" w:hAnsi="Calibri"/>
                <w:b w:val="0"/>
                <w:i w:val="0"/>
                <w:sz w:val="16"/>
              </w:rPr>
              <w:t>Immediate intervention</w:t>
            </w:r>
          </w:p>
        </w:tc>
        <w:tc>
          <w:tcPr>
            <w:tcW w:type="dxa" w:w="6438"/>
            <w:tcW w:w="6438" w:type="dxa"/>
            <w:shd w:val="clear" w:color="auto" w:fill="F2F5FA"/>
            <w:shd w:val="clear" w:color="auto" w:fill="FFC7CE"/>
          </w:tcPr>
          <w:p>
            <w:pPr>
              <w:spacing w:after="20" w:before="20"/>
            </w:pPr>
            <w:r/>
            <w:r>
              <w:rPr>
                <w:rFonts w:ascii="Calibri" w:hAnsi="Calibri"/>
                <w:b w:val="0"/>
                <w:i w:val="0"/>
                <w:sz w:val="16"/>
              </w:rPr>
              <w:t>Business review with Sales GM and OEM regional head; re-audit within 30 days</w:t>
            </w:r>
          </w:p>
        </w:tc>
      </w:tr>
    </w:tbl>
    <w:p>
      <w:pPr>
        <w:spacing w:before="240" w:after="100"/>
        <w:pBdr>
          <w:bottom w:val="single" w:sz="8" w:color="1F3864" w:space="2"/>
        </w:pBdr>
      </w:pPr>
      <w:r>
        <w:rPr>
          <w:rFonts w:ascii="Calibri" w:hAnsi="Calibri"/>
          <w:b/>
          <w:color w:val="1F3864"/>
          <w:sz w:val="26"/>
        </w:rPr>
        <w:t>Section G — Corrective action plan</w:t>
      </w:r>
    </w:p>
    <w:p>
      <w:pPr>
        <w:spacing w:after="80"/>
      </w:pPr>
      <w:r>
        <w:rPr>
          <w:rFonts w:ascii="Calibri" w:hAnsi="Calibri"/>
          <w:b w:val="0"/>
          <w:sz w:val="16"/>
        </w:rPr>
        <w:t>Every parameter below 75% achievement appears here with a named owner and a dated commitment.</w:t>
      </w:r>
    </w:p>
    <w:tbl>
      <w:tblPr>
        <w:tblStyle w:val="TableGrid"/>
        <w:tblW w:type="auto" w:w="0"/>
        <w:tblLayout w:type="fixed"/>
        <w:tblLook w:firstColumn="1" w:firstRow="1" w:lastColumn="0" w:lastRow="0" w:noHBand="0" w:noVBand="1" w:val="04A0"/>
        <w:tblLayout w:type="fixed"/>
      </w:tblPr>
      <w:tblGrid>
        <w:gridCol w:w="560"/>
        <w:gridCol w:w="1700"/>
        <w:gridCol w:w="3400"/>
        <w:gridCol w:w="3400"/>
        <w:gridCol w:w="1900"/>
        <w:gridCol w:w="1200"/>
        <w:gridCol w:w="3478"/>
      </w:tblGrid>
      <w:tr>
        <w:tc>
          <w:tcPr>
            <w:tcW w:type="dxa" w:w="2234"/>
            <w:tcW w:w="560" w:type="dxa"/>
            <w:shd w:val="clear" w:color="auto" w:fill="1F3864"/>
            <w:vAlign w:val="center"/>
          </w:tcPr>
          <w:p>
            <w:pPr>
              <w:spacing w:after="20" w:before="20"/>
              <w:jc w:val="center"/>
            </w:pPr>
            <w:r/>
            <w:r>
              <w:rPr>
                <w:rFonts w:ascii="Calibri" w:hAnsi="Calibri"/>
                <w:b/>
                <w:i w:val="0"/>
                <w:color w:val="FFFFFF"/>
                <w:sz w:val="18"/>
              </w:rPr>
              <w:t>S.No</w:t>
            </w:r>
          </w:p>
        </w:tc>
        <w:tc>
          <w:tcPr>
            <w:tcW w:type="dxa" w:w="2234"/>
            <w:tcW w:w="1700" w:type="dxa"/>
            <w:shd w:val="clear" w:color="auto" w:fill="1F3864"/>
            <w:vAlign w:val="center"/>
          </w:tcPr>
          <w:p>
            <w:pPr>
              <w:spacing w:after="20" w:before="20"/>
              <w:jc w:val="center"/>
            </w:pPr>
            <w:r/>
            <w:r>
              <w:rPr>
                <w:rFonts w:ascii="Calibri" w:hAnsi="Calibri"/>
                <w:b/>
                <w:i w:val="0"/>
                <w:color w:val="FFFFFF"/>
                <w:sz w:val="18"/>
              </w:rPr>
              <w:t>Pillar</w:t>
            </w:r>
          </w:p>
        </w:tc>
        <w:tc>
          <w:tcPr>
            <w:tcW w:type="dxa" w:w="2234"/>
            <w:tcW w:w="3400" w:type="dxa"/>
            <w:shd w:val="clear" w:color="auto" w:fill="1F3864"/>
            <w:vAlign w:val="center"/>
          </w:tcPr>
          <w:p>
            <w:pPr>
              <w:spacing w:after="20" w:before="20"/>
              <w:jc w:val="center"/>
            </w:pPr>
            <w:r/>
            <w:r>
              <w:rPr>
                <w:rFonts w:ascii="Calibri" w:hAnsi="Calibri"/>
                <w:b/>
                <w:i w:val="0"/>
                <w:color w:val="FFFFFF"/>
                <w:sz w:val="18"/>
              </w:rPr>
              <w:t>Gap observed (with data)</w:t>
            </w:r>
          </w:p>
        </w:tc>
        <w:tc>
          <w:tcPr>
            <w:tcW w:type="dxa" w:w="2234"/>
            <w:tcW w:w="3400" w:type="dxa"/>
            <w:shd w:val="clear" w:color="auto" w:fill="1F3864"/>
            <w:vAlign w:val="center"/>
          </w:tcPr>
          <w:p>
            <w:pPr>
              <w:spacing w:after="20" w:before="20"/>
              <w:jc w:val="center"/>
            </w:pPr>
            <w:r/>
            <w:r>
              <w:rPr>
                <w:rFonts w:ascii="Calibri" w:hAnsi="Calibri"/>
                <w:b/>
                <w:i w:val="0"/>
                <w:color w:val="FFFFFF"/>
                <w:sz w:val="18"/>
              </w:rPr>
              <w:t>Corrective action agreed</w:t>
            </w:r>
          </w:p>
        </w:tc>
        <w:tc>
          <w:tcPr>
            <w:tcW w:type="dxa" w:w="2234"/>
            <w:tcW w:w="1900" w:type="dxa"/>
            <w:shd w:val="clear" w:color="auto" w:fill="1F3864"/>
            <w:vAlign w:val="center"/>
          </w:tcPr>
          <w:p>
            <w:pPr>
              <w:spacing w:after="20" w:before="20"/>
              <w:jc w:val="center"/>
            </w:pPr>
            <w:r/>
            <w:r>
              <w:rPr>
                <w:rFonts w:ascii="Calibri" w:hAnsi="Calibri"/>
                <w:b/>
                <w:i w:val="0"/>
                <w:color w:val="FFFFFF"/>
                <w:sz w:val="18"/>
              </w:rPr>
              <w:t>Owner</w:t>
            </w:r>
          </w:p>
        </w:tc>
        <w:tc>
          <w:tcPr>
            <w:tcW w:type="dxa" w:w="2234"/>
            <w:tcW w:w="1200" w:type="dxa"/>
            <w:shd w:val="clear" w:color="auto" w:fill="1F3864"/>
            <w:vAlign w:val="center"/>
          </w:tcPr>
          <w:p>
            <w:pPr>
              <w:spacing w:after="20" w:before="20"/>
              <w:jc w:val="center"/>
            </w:pPr>
            <w:r/>
            <w:r>
              <w:rPr>
                <w:rFonts w:ascii="Calibri" w:hAnsi="Calibri"/>
                <w:b/>
                <w:i w:val="0"/>
                <w:color w:val="FFFFFF"/>
                <w:sz w:val="18"/>
              </w:rPr>
              <w:t>Target date</w:t>
            </w:r>
          </w:p>
        </w:tc>
        <w:tc>
          <w:tcPr>
            <w:tcW w:type="dxa" w:w="2234"/>
            <w:tcW w:w="3478" w:type="dxa"/>
            <w:shd w:val="clear" w:color="auto" w:fill="1F3864"/>
            <w:vAlign w:val="center"/>
          </w:tcPr>
          <w:p>
            <w:pPr>
              <w:spacing w:after="20" w:before="20"/>
              <w:jc w:val="center"/>
            </w:pPr>
            <w:r/>
            <w:r>
              <w:rPr>
                <w:rFonts w:ascii="Calibri" w:hAnsi="Calibri"/>
                <w:b/>
                <w:i w:val="0"/>
                <w:color w:val="FFFFFF"/>
                <w:sz w:val="18"/>
              </w:rPr>
              <w:t>Input source and evidence</w:t>
            </w:r>
          </w:p>
        </w:tc>
      </w:tr>
      <w:tr>
        <w:tc>
          <w:tcPr>
            <w:tcW w:type="dxa" w:w="560"/>
            <w:tcW w:w="560" w:type="dxa"/>
            <w:shd w:val="clear" w:color="auto" w:fill="F2F5FA"/>
          </w:tcPr>
          <w:p>
            <w:pPr>
              <w:spacing w:after="20" w:before="20"/>
              <w:jc w:val="center"/>
            </w:pPr>
            <w:r/>
            <w:r>
              <w:rPr>
                <w:rFonts w:ascii="Calibri" w:hAnsi="Calibri"/>
                <w:b/>
                <w:i w:val="0"/>
                <w:sz w:val="16"/>
              </w:rPr>
              <w:t>1</w:t>
            </w:r>
          </w:p>
        </w:tc>
        <w:tc>
          <w:tcPr>
            <w:tcW w:type="dxa" w:w="1700"/>
            <w:tcW w:w="1700" w:type="dxa"/>
            <w:shd w:val="clear" w:color="auto" w:fill="F2F5FA"/>
          </w:tcPr>
          <w:p>
            <w:pPr>
              <w:spacing w:after="20" w:before="20"/>
            </w:pPr>
            <w:r/>
            <w:r>
              <w:rPr>
                <w:rFonts w:ascii="Calibri" w:hAnsi="Calibri"/>
                <w:b w:val="0"/>
                <w:i w:val="0"/>
                <w:sz w:val="16"/>
              </w:rPr>
              <w:t>Profitability</w:t>
            </w:r>
          </w:p>
        </w:tc>
        <w:tc>
          <w:tcPr>
            <w:tcW w:type="dxa" w:w="3400"/>
            <w:tcW w:w="3400" w:type="dxa"/>
            <w:shd w:val="clear" w:color="auto" w:fill="F2F5FA"/>
          </w:tcPr>
          <w:p>
            <w:pPr>
              <w:spacing w:after="20" w:before="20"/>
            </w:pPr>
            <w:r/>
            <w:r>
              <w:rPr>
                <w:rFonts w:ascii="Calibri" w:hAnsi="Calibri"/>
                <w:b w:val="0"/>
                <w:i w:val="0"/>
                <w:sz w:val="16"/>
              </w:rPr>
              <w:t>SHIELD (extended warranty) sold: Shield Scheme Reg ID: 0 of 30 invoices (0.0%). Value recorded: ₹0</w:t>
            </w:r>
          </w:p>
        </w:tc>
        <w:tc>
          <w:tcPr>
            <w:tcW w:type="dxa" w:w="3400"/>
            <w:tcW w:w="3400" w:type="dxa"/>
            <w:shd w:val="clear" w:color="auto" w:fill="F2F5FA"/>
          </w:tcPr>
          <w:p>
            <w:pPr>
              <w:spacing w:after="20" w:before="20"/>
            </w:pPr>
            <w:r/>
            <w:r>
              <w:rPr>
                <w:rFonts w:ascii="Calibri" w:hAnsi="Calibri"/>
                <w:b w:val="0"/>
                <w:i w:val="0"/>
                <w:sz w:val="16"/>
              </w:rPr>
              <w:t>Establish whether SHIELD is unsold or sold outside the DMS; reconcile the SHIELD portal against the retail register and make Shield Reg ID mandatory before invoice release</w:t>
            </w:r>
          </w:p>
        </w:tc>
        <w:tc>
          <w:tcPr>
            <w:tcW w:type="dxa" w:w="1900"/>
            <w:tcW w:w="1900" w:type="dxa"/>
            <w:shd w:val="clear" w:color="auto" w:fill="F2F5FA"/>
          </w:tcPr>
          <w:p>
            <w:pPr>
              <w:spacing w:after="20" w:before="20"/>
            </w:pPr>
            <w:r/>
            <w:r>
              <w:rPr>
                <w:rFonts w:ascii="Calibri" w:hAnsi="Calibri"/>
                <w:b w:val="0"/>
                <w:i w:val="0"/>
                <w:sz w:val="16"/>
              </w:rPr>
              <w:t>Sales GM / Sales Manager</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Retails.xlsx › Export › Shield Scheme Reg ID, Shield Scheme Amount</w:t>
            </w:r>
          </w:p>
        </w:tc>
      </w:tr>
      <w:tr>
        <w:tc>
          <w:tcPr>
            <w:tcW w:type="dxa" w:w="560"/>
            <w:tcW w:w="560" w:type="dxa"/>
          </w:tcPr>
          <w:p>
            <w:pPr>
              <w:spacing w:after="20" w:before="20"/>
              <w:jc w:val="center"/>
            </w:pPr>
            <w:r/>
            <w:r>
              <w:rPr>
                <w:rFonts w:ascii="Calibri" w:hAnsi="Calibri"/>
                <w:b/>
                <w:i w:val="0"/>
                <w:sz w:val="16"/>
              </w:rPr>
              <w:t>2</w:t>
            </w:r>
          </w:p>
        </w:tc>
        <w:tc>
          <w:tcPr>
            <w:tcW w:type="dxa" w:w="1700"/>
            <w:tcW w:w="1700" w:type="dxa"/>
          </w:tcPr>
          <w:p>
            <w:pPr>
              <w:spacing w:after="20" w:before="20"/>
            </w:pPr>
            <w:r/>
            <w:r>
              <w:rPr>
                <w:rFonts w:ascii="Calibri" w:hAnsi="Calibri"/>
                <w:b w:val="0"/>
                <w:i w:val="0"/>
                <w:sz w:val="16"/>
              </w:rPr>
              <w:t>Profitability</w:t>
            </w:r>
          </w:p>
        </w:tc>
        <w:tc>
          <w:tcPr>
            <w:tcW w:type="dxa" w:w="3400"/>
            <w:tcW w:w="3400" w:type="dxa"/>
          </w:tcPr>
          <w:p>
            <w:pPr>
              <w:spacing w:after="20" w:before="20"/>
            </w:pPr>
            <w:r/>
            <w:r>
              <w:rPr>
                <w:rFonts w:ascii="Calibri" w:hAnsi="Calibri"/>
                <w:b w:val="0"/>
                <w:i w:val="0"/>
                <w:sz w:val="16"/>
              </w:rPr>
              <w:t>RSA policies sold: RSA Scheme Reg ID: 0 of 30 invoices (0.0%). Value recorded: ₹0</w:t>
            </w:r>
          </w:p>
        </w:tc>
        <w:tc>
          <w:tcPr>
            <w:tcW w:type="dxa" w:w="3400"/>
            <w:tcW w:w="3400" w:type="dxa"/>
          </w:tcPr>
          <w:p>
            <w:pPr>
              <w:spacing w:after="20" w:before="20"/>
            </w:pPr>
            <w:r/>
            <w:r>
              <w:rPr>
                <w:rFonts w:ascii="Calibri" w:hAnsi="Calibri"/>
                <w:b w:val="0"/>
                <w:i w:val="0"/>
                <w:sz w:val="16"/>
              </w:rPr>
              <w:t>Establish whether RSA is unsold or sold outside the DMS; reconcile the RSA portal against the retail register and make RSA Reg ID mandatory before invoice release</w:t>
            </w:r>
          </w:p>
        </w:tc>
        <w:tc>
          <w:tcPr>
            <w:tcW w:type="dxa" w:w="1900"/>
            <w:tcW w:w="1900" w:type="dxa"/>
          </w:tcPr>
          <w:p>
            <w:pPr>
              <w:spacing w:after="20" w:before="20"/>
            </w:pPr>
            <w:r/>
            <w:r>
              <w:rPr>
                <w:rFonts w:ascii="Calibri" w:hAnsi="Calibri"/>
                <w:b w:val="0"/>
                <w:i w:val="0"/>
                <w:sz w:val="16"/>
              </w:rPr>
              <w:t>Sales GM / Sales Manager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Retails.xlsx › Export › RSA Scheme Reg ID, RSA Scheme Amount</w:t>
            </w:r>
          </w:p>
        </w:tc>
      </w:tr>
      <w:tr>
        <w:tc>
          <w:tcPr>
            <w:tcW w:type="dxa" w:w="560"/>
            <w:tcW w:w="560" w:type="dxa"/>
            <w:shd w:val="clear" w:color="auto" w:fill="F2F5FA"/>
          </w:tcPr>
          <w:p>
            <w:pPr>
              <w:spacing w:after="20" w:before="20"/>
              <w:jc w:val="center"/>
            </w:pPr>
            <w:r/>
            <w:r>
              <w:rPr>
                <w:rFonts w:ascii="Calibri" w:hAnsi="Calibri"/>
                <w:b/>
                <w:i w:val="0"/>
                <w:sz w:val="16"/>
              </w:rPr>
              <w:t>3</w:t>
            </w:r>
          </w:p>
        </w:tc>
        <w:tc>
          <w:tcPr>
            <w:tcW w:type="dxa" w:w="1700"/>
            <w:tcW w:w="1700" w:type="dxa"/>
            <w:shd w:val="clear" w:color="auto" w:fill="F2F5FA"/>
          </w:tcPr>
          <w:p>
            <w:pPr>
              <w:spacing w:after="20" w:before="20"/>
            </w:pPr>
            <w:r/>
            <w:r>
              <w:rPr>
                <w:rFonts w:ascii="Calibri" w:hAnsi="Calibri"/>
                <w:b w:val="0"/>
                <w:i w:val="0"/>
                <w:sz w:val="16"/>
              </w:rPr>
              <w:t>Profitability</w:t>
            </w:r>
          </w:p>
        </w:tc>
        <w:tc>
          <w:tcPr>
            <w:tcW w:type="dxa" w:w="3400"/>
            <w:tcW w:w="3400" w:type="dxa"/>
            <w:shd w:val="clear" w:color="auto" w:fill="F2F5FA"/>
          </w:tcPr>
          <w:p>
            <w:pPr>
              <w:spacing w:after="20" w:before="20"/>
            </w:pPr>
            <w:r/>
            <w:r>
              <w:rPr>
                <w:rFonts w:ascii="Calibri" w:hAnsi="Calibri"/>
                <w:b w:val="0"/>
                <w:i w:val="0"/>
                <w:sz w:val="16"/>
              </w:rPr>
              <w:t>Insurance penetration: Insurer recorded as a generic value on 30 of 30 (100.0%); insurance amount blank on 30 of 30</w:t>
            </w:r>
          </w:p>
        </w:tc>
        <w:tc>
          <w:tcPr>
            <w:tcW w:type="dxa" w:w="3400"/>
            <w:tcW w:w="3400" w:type="dxa"/>
            <w:shd w:val="clear" w:color="auto" w:fill="F2F5FA"/>
          </w:tcPr>
          <w:p>
            <w:pPr>
              <w:spacing w:after="20" w:before="20"/>
            </w:pPr>
            <w:r/>
            <w:r>
              <w:rPr>
                <w:rFonts w:ascii="Calibri" w:hAnsi="Calibri"/>
                <w:b w:val="0"/>
                <w:i w:val="0"/>
                <w:sz w:val="16"/>
              </w:rPr>
              <w:t>Correct the insurer master so the actual company is selected; make insurance amount mandatory at invoice</w:t>
            </w:r>
          </w:p>
        </w:tc>
        <w:tc>
          <w:tcPr>
            <w:tcW w:type="dxa" w:w="1900"/>
            <w:tcW w:w="1900" w:type="dxa"/>
            <w:shd w:val="clear" w:color="auto" w:fill="F2F5FA"/>
          </w:tcPr>
          <w:p>
            <w:pPr>
              <w:spacing w:after="20" w:before="20"/>
            </w:pPr>
            <w:r/>
            <w:r>
              <w:rPr>
                <w:rFonts w:ascii="Calibri" w:hAnsi="Calibri"/>
                <w:b w:val="0"/>
                <w:i w:val="0"/>
                <w:sz w:val="16"/>
              </w:rPr>
              <w:t>Sales GM / Sales Manager</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Retails.xlsx › Export › Insurance Company Name, Insurance Amount</w:t>
            </w:r>
          </w:p>
        </w:tc>
      </w:tr>
      <w:tr>
        <w:tc>
          <w:tcPr>
            <w:tcW w:type="dxa" w:w="560"/>
            <w:tcW w:w="560" w:type="dxa"/>
          </w:tcPr>
          <w:p>
            <w:pPr>
              <w:spacing w:after="20" w:before="20"/>
              <w:jc w:val="center"/>
            </w:pPr>
            <w:r/>
            <w:r>
              <w:rPr>
                <w:rFonts w:ascii="Calibri" w:hAnsi="Calibri"/>
                <w:b/>
                <w:i w:val="0"/>
                <w:sz w:val="16"/>
              </w:rPr>
              <w:t>4</w:t>
            </w:r>
          </w:p>
        </w:tc>
        <w:tc>
          <w:tcPr>
            <w:tcW w:type="dxa" w:w="1700"/>
            <w:tcW w:w="1700" w:type="dxa"/>
          </w:tcPr>
          <w:p>
            <w:pPr>
              <w:spacing w:after="20" w:before="20"/>
            </w:pPr>
            <w:r/>
            <w:r>
              <w:rPr>
                <w:rFonts w:ascii="Calibri" w:hAnsi="Calibri"/>
                <w:b w:val="0"/>
                <w:i w:val="0"/>
                <w:sz w:val="16"/>
              </w:rPr>
              <w:t>Experience</w:t>
            </w:r>
          </w:p>
        </w:tc>
        <w:tc>
          <w:tcPr>
            <w:tcW w:type="dxa" w:w="3400"/>
            <w:tcW w:w="3400" w:type="dxa"/>
          </w:tcPr>
          <w:p>
            <w:pPr>
              <w:spacing w:after="20" w:before="20"/>
            </w:pPr>
            <w:r/>
            <w:r>
              <w:rPr>
                <w:rFonts w:ascii="Calibri" w:hAnsi="Calibri"/>
                <w:b w:val="0"/>
                <w:i w:val="0"/>
                <w:sz w:val="16"/>
              </w:rPr>
              <w:t>Delivery commitment adherence: Promised delivery date populated on 0 of 30. Booking to invoice median 8 days; 1 (3.3%) beyond 30 days</w:t>
            </w:r>
          </w:p>
        </w:tc>
        <w:tc>
          <w:tcPr>
            <w:tcW w:type="dxa" w:w="3400"/>
            <w:tcW w:w="3400" w:type="dxa"/>
          </w:tcPr>
          <w:p>
            <w:pPr>
              <w:spacing w:after="20" w:before="20"/>
            </w:pPr>
            <w:r/>
            <w:r>
              <w:rPr>
                <w:rFonts w:ascii="Calibri" w:hAnsi="Calibri"/>
                <w:b w:val="0"/>
                <w:i w:val="0"/>
                <w:sz w:val="16"/>
              </w:rPr>
              <w:t>Make the promised delivery date mandatory at booking; publish a weekly overdue-delivery report by branch</w:t>
            </w:r>
          </w:p>
        </w:tc>
        <w:tc>
          <w:tcPr>
            <w:tcW w:type="dxa" w:w="1900"/>
            <w:tcW w:w="1900" w:type="dxa"/>
          </w:tcPr>
          <w:p>
            <w:pPr>
              <w:spacing w:after="20" w:before="20"/>
            </w:pPr>
            <w:r/>
            <w:r>
              <w:rPr>
                <w:rFonts w:ascii="Calibri" w:hAnsi="Calibri"/>
                <w:b w:val="0"/>
                <w:i w:val="0"/>
                <w:sz w:val="16"/>
              </w:rPr>
              <w:t>Sales Manager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Retails.xlsx › Export › Initial Promised Delivery date, Booking Date and Time</w:t>
            </w:r>
          </w:p>
        </w:tc>
      </w:tr>
      <w:tr>
        <w:tc>
          <w:tcPr>
            <w:tcW w:type="dxa" w:w="560"/>
            <w:tcW w:w="560" w:type="dxa"/>
            <w:shd w:val="clear" w:color="auto" w:fill="F2F5FA"/>
          </w:tcPr>
          <w:p>
            <w:pPr>
              <w:spacing w:after="20" w:before="20"/>
              <w:jc w:val="center"/>
            </w:pPr>
            <w:r/>
            <w:r>
              <w:rPr>
                <w:rFonts w:ascii="Calibri" w:hAnsi="Calibri"/>
                <w:b/>
                <w:i w:val="0"/>
                <w:sz w:val="16"/>
              </w:rPr>
              <w:t>5</w:t>
            </w:r>
          </w:p>
        </w:tc>
        <w:tc>
          <w:tcPr>
            <w:tcW w:type="dxa" w:w="1700"/>
            <w:tcW w:w="1700" w:type="dxa"/>
            <w:shd w:val="clear" w:color="auto" w:fill="F2F5FA"/>
          </w:tcPr>
          <w:p>
            <w:pPr>
              <w:spacing w:after="20" w:before="20"/>
            </w:pPr>
            <w:r/>
            <w:r>
              <w:rPr>
                <w:rFonts w:ascii="Calibri" w:hAnsi="Calibri"/>
                <w:b w:val="0"/>
                <w:i w:val="0"/>
                <w:sz w:val="16"/>
              </w:rPr>
              <w:t>Demo Fleet</w:t>
            </w:r>
          </w:p>
        </w:tc>
        <w:tc>
          <w:tcPr>
            <w:tcW w:type="dxa" w:w="3400"/>
            <w:tcW w:w="3400" w:type="dxa"/>
            <w:shd w:val="clear" w:color="auto" w:fill="F2F5FA"/>
          </w:tcPr>
          <w:p>
            <w:pPr>
              <w:spacing w:after="20" w:before="20"/>
            </w:pPr>
            <w:r/>
            <w:r>
              <w:rPr>
                <w:rFonts w:ascii="Calibri" w:hAnsi="Calibri"/>
                <w:b w:val="0"/>
                <w:i w:val="0"/>
                <w:sz w:val="16"/>
              </w:rPr>
              <w:t>Test drive vehicle recorded: Vehicle named on 0.0% of test drives; 1 branch(es) with no identified demo vehicle: CHIKHALI</w:t>
            </w:r>
          </w:p>
        </w:tc>
        <w:tc>
          <w:tcPr>
            <w:tcW w:type="dxa" w:w="3400"/>
            <w:tcW w:w="3400" w:type="dxa"/>
            <w:shd w:val="clear" w:color="auto" w:fill="F2F5FA"/>
          </w:tcPr>
          <w:p>
            <w:pPr>
              <w:spacing w:after="20" w:before="20"/>
            </w:pPr>
            <w:r/>
            <w:r>
              <w:rPr>
                <w:rFonts w:ascii="Calibri" w:hAnsi="Calibri"/>
                <w:b w:val="0"/>
                <w:i w:val="0"/>
                <w:sz w:val="16"/>
              </w:rPr>
              <w:t>Tag the demo vehicle in DMS so every test drive records the vehicle used</w:t>
            </w:r>
          </w:p>
        </w:tc>
        <w:tc>
          <w:tcPr>
            <w:tcW w:type="dxa" w:w="1900"/>
            <w:tcW w:w="1900" w:type="dxa"/>
            <w:shd w:val="clear" w:color="auto" w:fill="F2F5FA"/>
          </w:tcPr>
          <w:p>
            <w:pPr>
              <w:spacing w:after="20" w:before="20"/>
            </w:pPr>
            <w:r/>
            <w:r>
              <w:rPr>
                <w:rFonts w:ascii="Calibri" w:hAnsi="Calibri"/>
                <w:b w:val="0"/>
                <w:i w:val="0"/>
                <w:sz w:val="16"/>
              </w:rPr>
              <w:t>Branch Sales Managers</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Test Drive.xlsx › FETB_EDP_v1_1 › TD Vehicle Name</w:t>
            </w:r>
          </w:p>
        </w:tc>
      </w:tr>
      <w:tr>
        <w:tc>
          <w:tcPr>
            <w:tcW w:type="dxa" w:w="560"/>
            <w:tcW w:w="560" w:type="dxa"/>
          </w:tcPr>
          <w:p>
            <w:pPr>
              <w:spacing w:after="20" w:before="20"/>
              <w:jc w:val="center"/>
            </w:pPr>
            <w:r/>
            <w:r>
              <w:rPr>
                <w:rFonts w:ascii="Calibri" w:hAnsi="Calibri"/>
                <w:b/>
                <w:i w:val="0"/>
                <w:sz w:val="16"/>
              </w:rPr>
              <w:t>6</w:t>
            </w:r>
          </w:p>
        </w:tc>
        <w:tc>
          <w:tcPr>
            <w:tcW w:type="dxa" w:w="1700"/>
            <w:tcW w:w="1700" w:type="dxa"/>
          </w:tcPr>
          <w:p>
            <w:pPr>
              <w:spacing w:after="20" w:before="20"/>
            </w:pPr>
            <w:r/>
            <w:r>
              <w:rPr>
                <w:rFonts w:ascii="Calibri" w:hAnsi="Calibri"/>
                <w:b w:val="0"/>
                <w:i w:val="0"/>
                <w:sz w:val="16"/>
              </w:rPr>
              <w:t>Enquiry</w:t>
            </w:r>
          </w:p>
        </w:tc>
        <w:tc>
          <w:tcPr>
            <w:tcW w:type="dxa" w:w="3400"/>
            <w:tcW w:w="3400" w:type="dxa"/>
          </w:tcPr>
          <w:p>
            <w:pPr>
              <w:spacing w:after="20" w:before="20"/>
            </w:pPr>
            <w:r/>
            <w:r>
              <w:rPr>
                <w:rFonts w:ascii="Calibri" w:hAnsi="Calibri"/>
                <w:b w:val="0"/>
                <w:i w:val="0"/>
                <w:sz w:val="16"/>
              </w:rPr>
              <w:t>Lead response TAT: Assign date blank on 437 of 441 (99.1%). Of 4 dated records, 0 (0.0%) show assignment before enquiry creation</w:t>
            </w:r>
          </w:p>
        </w:tc>
        <w:tc>
          <w:tcPr>
            <w:tcW w:type="dxa" w:w="3400"/>
            <w:tcW w:w="3400" w:type="dxa"/>
          </w:tcPr>
          <w:p>
            <w:pPr>
              <w:spacing w:after="20" w:before="20"/>
            </w:pPr>
            <w:r/>
            <w:r>
              <w:rPr>
                <w:rFonts w:ascii="Calibri" w:hAnsi="Calibri"/>
                <w:b w:val="0"/>
                <w:i w:val="0"/>
                <w:sz w:val="16"/>
              </w:rPr>
              <w:t>Make assign date a system-stamped, non-editable field; publish a daily unassigned-lead exception report to sales managers</w:t>
            </w:r>
          </w:p>
        </w:tc>
        <w:tc>
          <w:tcPr>
            <w:tcW w:type="dxa" w:w="1900"/>
            <w:tcW w:w="1900" w:type="dxa"/>
          </w:tcPr>
          <w:p>
            <w:pPr>
              <w:spacing w:after="20" w:before="20"/>
            </w:pPr>
            <w:r/>
            <w:r>
              <w:rPr>
                <w:rFonts w:ascii="Calibri" w:hAnsi="Calibri"/>
                <w:b w:val="0"/>
                <w:i w:val="0"/>
                <w:sz w:val="16"/>
              </w:rPr>
              <w:t>Sales CRM / Sales Manager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Enquiry.xlsx › FETB_EDP_v1_1 › Enq Assign Date, Enquiry Date</w:t>
            </w:r>
          </w:p>
        </w:tc>
      </w:tr>
      <w:tr>
        <w:tc>
          <w:tcPr>
            <w:tcW w:type="dxa" w:w="560"/>
            <w:tcW w:w="560" w:type="dxa"/>
            <w:shd w:val="clear" w:color="auto" w:fill="F2F5FA"/>
          </w:tcPr>
          <w:p>
            <w:pPr>
              <w:spacing w:after="20" w:before="20"/>
              <w:jc w:val="center"/>
            </w:pPr>
            <w:r/>
            <w:r>
              <w:rPr>
                <w:rFonts w:ascii="Calibri" w:hAnsi="Calibri"/>
                <w:b/>
                <w:i w:val="0"/>
                <w:sz w:val="16"/>
              </w:rPr>
              <w:t>7</w:t>
            </w:r>
          </w:p>
        </w:tc>
        <w:tc>
          <w:tcPr>
            <w:tcW w:type="dxa" w:w="1700"/>
            <w:tcW w:w="1700" w:type="dxa"/>
            <w:shd w:val="clear" w:color="auto" w:fill="F2F5FA"/>
          </w:tcPr>
          <w:p>
            <w:pPr>
              <w:spacing w:after="20" w:before="20"/>
            </w:pPr>
            <w:r/>
            <w:r>
              <w:rPr>
                <w:rFonts w:ascii="Calibri" w:hAnsi="Calibri"/>
                <w:b w:val="0"/>
                <w:i w:val="0"/>
                <w:sz w:val="16"/>
              </w:rPr>
              <w:t>Systems</w:t>
            </w:r>
          </w:p>
        </w:tc>
        <w:tc>
          <w:tcPr>
            <w:tcW w:type="dxa" w:w="3400"/>
            <w:tcW w:w="3400" w:type="dxa"/>
            <w:shd w:val="clear" w:color="auto" w:fill="F2F5FA"/>
          </w:tcPr>
          <w:p>
            <w:pPr>
              <w:spacing w:after="20" w:before="20"/>
            </w:pPr>
            <w:r/>
            <w:r>
              <w:rPr>
                <w:rFonts w:ascii="Calibri" w:hAnsi="Calibri"/>
                <w:b w:val="0"/>
                <w:i w:val="0"/>
                <w:sz w:val="16"/>
              </w:rPr>
              <w:t>Follow-up adherence: 275 enquiries (62.4%) with zero follow-up; 71.7% with no next planned date</w:t>
            </w:r>
          </w:p>
        </w:tc>
        <w:tc>
          <w:tcPr>
            <w:tcW w:type="dxa" w:w="3400"/>
            <w:tcW w:w="3400" w:type="dxa"/>
            <w:shd w:val="clear" w:color="auto" w:fill="F2F5FA"/>
          </w:tcPr>
          <w:p>
            <w:pPr>
              <w:spacing w:after="20" w:before="20"/>
            </w:pPr>
            <w:r/>
            <w:r>
              <w:rPr>
                <w:rFonts w:ascii="Calibri" w:hAnsi="Calibri"/>
                <w:b w:val="0"/>
                <w:i w:val="0"/>
                <w:sz w:val="16"/>
              </w:rPr>
              <w:t>Reinstate the daily follow-up calendar review in the morning meeting</w:t>
            </w:r>
          </w:p>
        </w:tc>
        <w:tc>
          <w:tcPr>
            <w:tcW w:type="dxa" w:w="1900"/>
            <w:tcW w:w="1900" w:type="dxa"/>
            <w:shd w:val="clear" w:color="auto" w:fill="F2F5FA"/>
          </w:tcPr>
          <w:p>
            <w:pPr>
              <w:spacing w:after="20" w:before="20"/>
            </w:pPr>
            <w:r/>
            <w:r>
              <w:rPr>
                <w:rFonts w:ascii="Calibri" w:hAnsi="Calibri"/>
                <w:b w:val="0"/>
                <w:i w:val="0"/>
                <w:sz w:val="16"/>
              </w:rPr>
              <w:t>Sales CRM</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Enquiry.xlsx › FETB_EDP_v1_1 › Completed Followup Count, Next Planned Followup</w:t>
            </w:r>
          </w:p>
        </w:tc>
      </w:tr>
      <w:tr>
        <w:tc>
          <w:tcPr>
            <w:tcW w:type="dxa" w:w="560"/>
            <w:tcW w:w="560" w:type="dxa"/>
          </w:tcPr>
          <w:p>
            <w:pPr>
              <w:spacing w:after="20" w:before="20"/>
              <w:jc w:val="center"/>
            </w:pPr>
            <w:r/>
            <w:r>
              <w:rPr>
                <w:rFonts w:ascii="Calibri" w:hAnsi="Calibri"/>
                <w:b/>
                <w:i w:val="0"/>
                <w:sz w:val="16"/>
              </w:rPr>
              <w:t>8</w:t>
            </w:r>
          </w:p>
        </w:tc>
        <w:tc>
          <w:tcPr>
            <w:tcW w:type="dxa" w:w="1700"/>
            <w:tcW w:w="1700" w:type="dxa"/>
          </w:tcPr>
          <w:p>
            <w:pPr>
              <w:spacing w:after="20" w:before="20"/>
            </w:pPr>
            <w:r/>
            <w:r>
              <w:rPr>
                <w:rFonts w:ascii="Calibri" w:hAnsi="Calibri"/>
                <w:b w:val="0"/>
                <w:i w:val="0"/>
                <w:sz w:val="16"/>
              </w:rPr>
              <w:t>Systems</w:t>
            </w:r>
          </w:p>
        </w:tc>
        <w:tc>
          <w:tcPr>
            <w:tcW w:type="dxa" w:w="3400"/>
            <w:tcW w:w="3400" w:type="dxa"/>
          </w:tcPr>
          <w:p>
            <w:pPr>
              <w:spacing w:after="20" w:before="20"/>
            </w:pPr>
            <w:r/>
            <w:r>
              <w:rPr>
                <w:rFonts w:ascii="Calibri" w:hAnsi="Calibri"/>
                <w:b w:val="0"/>
                <w:i w:val="0"/>
                <w:sz w:val="16"/>
              </w:rPr>
              <w:t>DMS data hygiene: TD Vehicle Name blank 100.0%; RSA Scheme Reg ID blank 100.0%; Total Accessories Amount blank 100.0%; Initial Promised Delivery date blank 100.0%; Enquiry Sub Source blank 98.2%</w:t>
            </w:r>
          </w:p>
        </w:tc>
        <w:tc>
          <w:tcPr>
            <w:tcW w:type="dxa" w:w="3400"/>
            <w:tcW w:w="3400" w:type="dxa"/>
          </w:tcPr>
          <w:p>
            <w:pPr>
              <w:spacing w:after="20" w:before="20"/>
            </w:pPr>
            <w:r/>
            <w:r>
              <w:rPr>
                <w:rFonts w:ascii="Calibri" w:hAnsi="Calibri"/>
                <w:b w:val="0"/>
                <w:i w:val="0"/>
                <w:sz w:val="16"/>
              </w:rPr>
              <w:t>Make qualification fields mandatory before an enquiry can be saved; weekly sample audit of 20 enquiries per branch</w:t>
            </w:r>
          </w:p>
        </w:tc>
        <w:tc>
          <w:tcPr>
            <w:tcW w:type="dxa" w:w="1900"/>
            <w:tcW w:w="1900" w:type="dxa"/>
          </w:tcPr>
          <w:p>
            <w:pPr>
              <w:spacing w:after="20" w:before="20"/>
            </w:pPr>
            <w:r/>
            <w:r>
              <w:rPr>
                <w:rFonts w:ascii="Calibri" w:hAnsi="Calibri"/>
                <w:b w:val="0"/>
                <w:i w:val="0"/>
                <w:sz w:val="16"/>
              </w:rPr>
              <w:t>Sales CRM</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Enquiry.xlsx › FETB_EDP_v1_1; Test Drive.xlsx › FETB_EDP_v1_1; Retails.xlsx › Export</w:t>
            </w:r>
          </w:p>
        </w:tc>
      </w:tr>
      <w:tr>
        <w:tc>
          <w:tcPr>
            <w:tcW w:type="dxa" w:w="560"/>
            <w:tcW w:w="560" w:type="dxa"/>
            <w:shd w:val="clear" w:color="auto" w:fill="F2F5FA"/>
          </w:tcPr>
          <w:p>
            <w:pPr>
              <w:spacing w:after="20" w:before="20"/>
              <w:jc w:val="center"/>
            </w:pPr>
            <w:r/>
            <w:r>
              <w:rPr>
                <w:rFonts w:ascii="Calibri" w:hAnsi="Calibri"/>
                <w:b/>
                <w:i w:val="0"/>
                <w:sz w:val="16"/>
              </w:rPr>
              <w:t>9</w:t>
            </w:r>
          </w:p>
        </w:tc>
        <w:tc>
          <w:tcPr>
            <w:tcW w:type="dxa" w:w="1700"/>
            <w:tcW w:w="1700" w:type="dxa"/>
            <w:shd w:val="clear" w:color="auto" w:fill="F2F5FA"/>
          </w:tcPr>
          <w:p>
            <w:pPr>
              <w:spacing w:after="20" w:before="20"/>
            </w:pPr>
            <w:r/>
            <w:r>
              <w:rPr>
                <w:rFonts w:ascii="Calibri" w:hAnsi="Calibri"/>
                <w:b w:val="0"/>
                <w:i w:val="0"/>
                <w:sz w:val="16"/>
              </w:rPr>
              <w:t>Conversion</w:t>
            </w:r>
          </w:p>
        </w:tc>
        <w:tc>
          <w:tcPr>
            <w:tcW w:type="dxa" w:w="3400"/>
            <w:tcW w:w="3400" w:type="dxa"/>
            <w:shd w:val="clear" w:color="auto" w:fill="F2F5FA"/>
          </w:tcPr>
          <w:p>
            <w:pPr>
              <w:spacing w:after="20" w:before="20"/>
            </w:pPr>
            <w:r/>
            <w:r>
              <w:rPr>
                <w:rFonts w:ascii="Calibri" w:hAnsi="Calibri"/>
                <w:b w:val="0"/>
                <w:i w:val="0"/>
                <w:sz w:val="16"/>
              </w:rPr>
              <w:t>Net enquiry to retail: 30 retails from 441 enquiries = 6.8%</w:t>
            </w:r>
          </w:p>
        </w:tc>
        <w:tc>
          <w:tcPr>
            <w:tcW w:type="dxa" w:w="3400"/>
            <w:tcW w:w="3400" w:type="dxa"/>
            <w:shd w:val="clear" w:color="auto" w:fill="F2F5FA"/>
          </w:tcPr>
          <w:p>
            <w:pPr>
              <w:spacing w:after="20" w:before="20"/>
            </w:pPr>
            <w:r/>
            <w:r>
              <w:rPr>
                <w:rFonts w:ascii="Calibri" w:hAnsi="Calibri"/>
                <w:b w:val="0"/>
                <w:i w:val="0"/>
                <w:sz w:val="16"/>
              </w:rPr>
              <w:t>Address the weakest funnel stage first; review conversion by consultant weekly</w:t>
            </w:r>
          </w:p>
        </w:tc>
        <w:tc>
          <w:tcPr>
            <w:tcW w:type="dxa" w:w="1900"/>
            <w:tcW w:w="1900" w:type="dxa"/>
            <w:shd w:val="clear" w:color="auto" w:fill="F2F5FA"/>
          </w:tcPr>
          <w:p>
            <w:pPr>
              <w:spacing w:after="20" w:before="20"/>
            </w:pPr>
            <w:r/>
            <w:r>
              <w:rPr>
                <w:rFonts w:ascii="Calibri" w:hAnsi="Calibri"/>
                <w:b w:val="0"/>
                <w:i w:val="0"/>
                <w:sz w:val="16"/>
              </w:rPr>
              <w:t>Branch Sales Managers</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Enquiry.xlsx › FETB_EDP_v1_1 + Retails.xlsx › Export</w:t>
            </w:r>
          </w:p>
        </w:tc>
      </w:tr>
      <w:tr>
        <w:tc>
          <w:tcPr>
            <w:tcW w:type="dxa" w:w="560"/>
            <w:tcW w:w="560" w:type="dxa"/>
          </w:tcPr>
          <w:p>
            <w:pPr>
              <w:spacing w:after="20" w:before="20"/>
              <w:jc w:val="center"/>
            </w:pPr>
            <w:r/>
            <w:r>
              <w:rPr>
                <w:rFonts w:ascii="Calibri" w:hAnsi="Calibri"/>
                <w:b/>
                <w:i w:val="0"/>
                <w:sz w:val="16"/>
              </w:rPr>
              <w:t>10</w:t>
            </w:r>
          </w:p>
        </w:tc>
        <w:tc>
          <w:tcPr>
            <w:tcW w:type="dxa" w:w="1700"/>
            <w:tcW w:w="1700" w:type="dxa"/>
          </w:tcPr>
          <w:p>
            <w:pPr>
              <w:spacing w:after="20" w:before="20"/>
            </w:pPr>
            <w:r/>
            <w:r>
              <w:rPr>
                <w:rFonts w:ascii="Calibri" w:hAnsi="Calibri"/>
                <w:b w:val="0"/>
                <w:i w:val="0"/>
                <w:sz w:val="16"/>
              </w:rPr>
              <w:t>Manpower</w:t>
            </w:r>
          </w:p>
        </w:tc>
        <w:tc>
          <w:tcPr>
            <w:tcW w:type="dxa" w:w="3400"/>
            <w:tcW w:w="3400" w:type="dxa"/>
          </w:tcPr>
          <w:p>
            <w:pPr>
              <w:spacing w:after="20" w:before="20"/>
            </w:pPr>
            <w:r/>
            <w:r>
              <w:rPr>
                <w:rFonts w:ascii="Calibri" w:hAnsi="Calibri"/>
                <w:b w:val="0"/>
                <w:i w:val="0"/>
                <w:sz w:val="16"/>
              </w:rPr>
              <w:t>Productivity per consultant: 2.3 retails per consultant over 29 day(s); 1 consultants with nil retail</w:t>
            </w:r>
          </w:p>
        </w:tc>
        <w:tc>
          <w:tcPr>
            <w:tcW w:type="dxa" w:w="3400"/>
            <w:tcW w:w="3400" w:type="dxa"/>
          </w:tcPr>
          <w:p>
            <w:pPr>
              <w:spacing w:after="20" w:before="20"/>
            </w:pPr>
            <w:r/>
            <w:r>
              <w:rPr>
                <w:rFonts w:ascii="Calibri" w:hAnsi="Calibri"/>
                <w:b w:val="0"/>
                <w:i w:val="0"/>
                <w:sz w:val="16"/>
              </w:rPr>
              <w:t>Counsel the nil-retail consultants; reallocate enquiries from non-performers</w:t>
            </w:r>
          </w:p>
        </w:tc>
        <w:tc>
          <w:tcPr>
            <w:tcW w:type="dxa" w:w="1900"/>
            <w:tcW w:w="1900" w:type="dxa"/>
          </w:tcPr>
          <w:p>
            <w:pPr>
              <w:spacing w:after="20" w:before="20"/>
            </w:pPr>
            <w:r/>
            <w:r>
              <w:rPr>
                <w:rFonts w:ascii="Calibri" w:hAnsi="Calibri"/>
                <w:b w:val="0"/>
                <w:i w:val="0"/>
                <w:sz w:val="16"/>
              </w:rPr>
              <w:t>Sales Manager / HR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Retails.xlsx › Export › SC Name</w:t>
            </w:r>
          </w:p>
        </w:tc>
      </w:tr>
      <w:tr>
        <w:tc>
          <w:tcPr>
            <w:tcW w:type="dxa" w:w="560"/>
            <w:tcW w:w="560" w:type="dxa"/>
            <w:shd w:val="clear" w:color="auto" w:fill="F2F5FA"/>
          </w:tcPr>
          <w:p>
            <w:pPr>
              <w:spacing w:after="20" w:before="20"/>
              <w:jc w:val="center"/>
            </w:pPr>
            <w:r/>
            <w:r>
              <w:rPr>
                <w:rFonts w:ascii="Calibri" w:hAnsi="Calibri"/>
                <w:b/>
                <w:i w:val="0"/>
                <w:sz w:val="16"/>
              </w:rPr>
              <w:t>11</w:t>
            </w:r>
          </w:p>
        </w:tc>
        <w:tc>
          <w:tcPr>
            <w:tcW w:type="dxa" w:w="1700"/>
            <w:tcW w:w="1700" w:type="dxa"/>
            <w:shd w:val="clear" w:color="auto" w:fill="F2F5FA"/>
          </w:tcPr>
          <w:p>
            <w:pPr>
              <w:spacing w:after="20" w:before="20"/>
            </w:pPr>
            <w:r/>
            <w:r>
              <w:rPr>
                <w:rFonts w:ascii="Calibri" w:hAnsi="Calibri"/>
                <w:b w:val="0"/>
                <w:i w:val="0"/>
                <w:sz w:val="16"/>
              </w:rPr>
              <w:t>Experience</w:t>
            </w:r>
          </w:p>
        </w:tc>
        <w:tc>
          <w:tcPr>
            <w:tcW w:type="dxa" w:w="3400"/>
            <w:tcW w:w="3400" w:type="dxa"/>
            <w:shd w:val="clear" w:color="auto" w:fill="F2F5FA"/>
          </w:tcPr>
          <w:p>
            <w:pPr>
              <w:spacing w:after="20" w:before="20"/>
            </w:pPr>
            <w:r/>
            <w:r>
              <w:rPr>
                <w:rFonts w:ascii="Calibri" w:hAnsi="Calibri"/>
                <w:b w:val="0"/>
                <w:i w:val="0"/>
                <w:sz w:val="16"/>
              </w:rPr>
              <w:t>Delivery documentation: Delivery note present on 9 of 30 invoiced units (30.0%)</w:t>
            </w:r>
          </w:p>
        </w:tc>
        <w:tc>
          <w:tcPr>
            <w:tcW w:type="dxa" w:w="3400"/>
            <w:tcW w:w="3400" w:type="dxa"/>
            <w:shd w:val="clear" w:color="auto" w:fill="F2F5FA"/>
          </w:tcPr>
          <w:p>
            <w:pPr>
              <w:spacing w:after="20" w:before="20"/>
            </w:pPr>
            <w:r/>
            <w:r>
              <w:rPr>
                <w:rFonts w:ascii="Calibri" w:hAnsi="Calibri"/>
                <w:b w:val="0"/>
                <w:i w:val="0"/>
                <w:sz w:val="16"/>
              </w:rPr>
              <w:t>No vehicle to leave the yard without a delivery note raised in DMS</w:t>
            </w:r>
          </w:p>
        </w:tc>
        <w:tc>
          <w:tcPr>
            <w:tcW w:type="dxa" w:w="1900"/>
            <w:tcW w:w="1900" w:type="dxa"/>
            <w:shd w:val="clear" w:color="auto" w:fill="F2F5FA"/>
          </w:tcPr>
          <w:p>
            <w:pPr>
              <w:spacing w:after="20" w:before="20"/>
            </w:pPr>
            <w:r/>
            <w:r>
              <w:rPr>
                <w:rFonts w:ascii="Calibri" w:hAnsi="Calibri"/>
                <w:b w:val="0"/>
                <w:i w:val="0"/>
                <w:sz w:val="16"/>
              </w:rPr>
              <w:t>Sales Manager</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Retails.xlsx › Export › Delivery Note Date</w:t>
            </w:r>
          </w:p>
        </w:tc>
      </w:tr>
      <w:tr>
        <w:tc>
          <w:tcPr>
            <w:tcW w:type="dxa" w:w="560"/>
            <w:tcW w:w="560" w:type="dxa"/>
          </w:tcPr>
          <w:p>
            <w:pPr>
              <w:spacing w:after="20" w:before="20"/>
              <w:jc w:val="center"/>
            </w:pPr>
            <w:r/>
            <w:r>
              <w:rPr>
                <w:rFonts w:ascii="Calibri" w:hAnsi="Calibri"/>
                <w:b/>
                <w:i w:val="0"/>
                <w:sz w:val="16"/>
              </w:rPr>
              <w:t>12</w:t>
            </w:r>
          </w:p>
        </w:tc>
        <w:tc>
          <w:tcPr>
            <w:tcW w:type="dxa" w:w="1700"/>
            <w:tcW w:w="1700" w:type="dxa"/>
          </w:tcPr>
          <w:p>
            <w:pPr>
              <w:spacing w:after="20" w:before="20"/>
            </w:pPr>
            <w:r/>
            <w:r>
              <w:rPr>
                <w:rFonts w:ascii="Calibri" w:hAnsi="Calibri"/>
                <w:b w:val="0"/>
                <w:i w:val="0"/>
                <w:sz w:val="16"/>
              </w:rPr>
              <w:t>Profitability</w:t>
            </w:r>
          </w:p>
        </w:tc>
        <w:tc>
          <w:tcPr>
            <w:tcW w:type="dxa" w:w="3400"/>
            <w:tcW w:w="3400" w:type="dxa"/>
          </w:tcPr>
          <w:p>
            <w:pPr>
              <w:spacing w:after="20" w:before="20"/>
            </w:pPr>
            <w:r/>
            <w:r>
              <w:rPr>
                <w:rFonts w:ascii="Calibri" w:hAnsi="Calibri"/>
                <w:b w:val="0"/>
                <w:i w:val="0"/>
                <w:sz w:val="16"/>
              </w:rPr>
              <w:t>Exchange penetration: Exchange on 3 of 30 = 10.0%</w:t>
            </w:r>
          </w:p>
        </w:tc>
        <w:tc>
          <w:tcPr>
            <w:tcW w:type="dxa" w:w="3400"/>
            <w:tcW w:w="3400" w:type="dxa"/>
          </w:tcPr>
          <w:p>
            <w:pPr>
              <w:spacing w:after="20" w:before="20"/>
            </w:pPr>
            <w:r/>
            <w:r>
              <w:rPr>
                <w:rFonts w:ascii="Calibri" w:hAnsi="Calibri"/>
                <w:b w:val="0"/>
                <w:i w:val="0"/>
                <w:sz w:val="16"/>
              </w:rPr>
              <w:t>Make exchange evaluation mandatory at enquiry; track evaluations per branch weekly</w:t>
            </w:r>
          </w:p>
        </w:tc>
        <w:tc>
          <w:tcPr>
            <w:tcW w:type="dxa" w:w="1900"/>
            <w:tcW w:w="1900" w:type="dxa"/>
          </w:tcPr>
          <w:p>
            <w:pPr>
              <w:spacing w:after="20" w:before="20"/>
            </w:pPr>
            <w:r/>
            <w:r>
              <w:rPr>
                <w:rFonts w:ascii="Calibri" w:hAnsi="Calibri"/>
                <w:b w:val="0"/>
                <w:i w:val="0"/>
                <w:sz w:val="16"/>
              </w:rPr>
              <w:t>Sales GM / Sales Manager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Retails.xlsx › Export › Exchange Indicator</w:t>
            </w:r>
          </w:p>
        </w:tc>
      </w:tr>
      <w:tr>
        <w:tc>
          <w:tcPr>
            <w:tcW w:type="dxa" w:w="560"/>
            <w:tcW w:w="560" w:type="dxa"/>
            <w:shd w:val="clear" w:color="auto" w:fill="F2F5FA"/>
          </w:tcPr>
          <w:p>
            <w:pPr>
              <w:spacing w:after="20" w:before="20"/>
              <w:jc w:val="center"/>
            </w:pPr>
            <w:r/>
            <w:r>
              <w:rPr>
                <w:rFonts w:ascii="Calibri" w:hAnsi="Calibri"/>
                <w:b/>
                <w:i w:val="0"/>
                <w:sz w:val="16"/>
              </w:rPr>
              <w:t>13</w:t>
            </w:r>
          </w:p>
        </w:tc>
        <w:tc>
          <w:tcPr>
            <w:tcW w:type="dxa" w:w="1700"/>
            <w:tcW w:w="1700" w:type="dxa"/>
            <w:shd w:val="clear" w:color="auto" w:fill="F2F5FA"/>
          </w:tcPr>
          <w:p>
            <w:pPr>
              <w:spacing w:after="20" w:before="20"/>
            </w:pPr>
            <w:r/>
            <w:r>
              <w:rPr>
                <w:rFonts w:ascii="Calibri" w:hAnsi="Calibri"/>
                <w:b w:val="0"/>
                <w:i w:val="0"/>
                <w:sz w:val="16"/>
              </w:rPr>
              <w:t>Enquiry</w:t>
            </w:r>
          </w:p>
        </w:tc>
        <w:tc>
          <w:tcPr>
            <w:tcW w:type="dxa" w:w="3400"/>
            <w:tcW w:w="3400" w:type="dxa"/>
            <w:shd w:val="clear" w:color="auto" w:fill="F2F5FA"/>
          </w:tcPr>
          <w:p>
            <w:pPr>
              <w:spacing w:after="20" w:before="20"/>
            </w:pPr>
            <w:r/>
            <w:r>
              <w:rPr>
                <w:rFonts w:ascii="Calibri" w:hAnsi="Calibri"/>
                <w:b w:val="0"/>
                <w:i w:val="0"/>
                <w:sz w:val="16"/>
              </w:rPr>
              <w:t>Enquiry source mix: Field 82.5%; Walk-in 9.1%; Digital 7.0%; Telephone 1.4%</w:t>
            </w:r>
          </w:p>
        </w:tc>
        <w:tc>
          <w:tcPr>
            <w:tcW w:type="dxa" w:w="3400"/>
            <w:tcW w:w="3400" w:type="dxa"/>
            <w:shd w:val="clear" w:color="auto" w:fill="F2F5FA"/>
          </w:tcPr>
          <w:p>
            <w:pPr>
              <w:spacing w:after="20" w:before="20"/>
            </w:pPr>
            <w:r/>
            <w:r>
              <w:rPr>
                <w:rFonts w:ascii="Calibri" w:hAnsi="Calibri"/>
                <w:b w:val="0"/>
                <w:i w:val="0"/>
                <w:sz w:val="16"/>
              </w:rPr>
              <w:t>Rebalance lead spend towards digital and referral; launch a structured referral scheme with partner names captured in DMS</w:t>
            </w:r>
          </w:p>
        </w:tc>
        <w:tc>
          <w:tcPr>
            <w:tcW w:type="dxa" w:w="1900"/>
            <w:tcW w:w="1900" w:type="dxa"/>
            <w:shd w:val="clear" w:color="auto" w:fill="F2F5FA"/>
          </w:tcPr>
          <w:p>
            <w:pPr>
              <w:spacing w:after="20" w:before="20"/>
            </w:pPr>
            <w:r/>
            <w:r>
              <w:rPr>
                <w:rFonts w:ascii="Calibri" w:hAnsi="Calibri"/>
                <w:b w:val="0"/>
                <w:i w:val="0"/>
                <w:sz w:val="16"/>
              </w:rPr>
              <w:t>Sales CRM / Sales Manager</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Enquiry.xlsx › FETB_EDP_v1_1 › Enquiry Type, Enquiry Source</w:t>
            </w:r>
          </w:p>
        </w:tc>
      </w:tr>
      <w:tr>
        <w:tc>
          <w:tcPr>
            <w:tcW w:type="dxa" w:w="560"/>
            <w:tcW w:w="560" w:type="dxa"/>
          </w:tcPr>
          <w:p>
            <w:pPr>
              <w:spacing w:after="20" w:before="20"/>
              <w:jc w:val="center"/>
            </w:pPr>
            <w:r/>
            <w:r>
              <w:rPr>
                <w:rFonts w:ascii="Calibri" w:hAnsi="Calibri"/>
                <w:b/>
                <w:i w:val="0"/>
                <w:sz w:val="16"/>
              </w:rPr>
              <w:t>14</w:t>
            </w:r>
          </w:p>
        </w:tc>
        <w:tc>
          <w:tcPr>
            <w:tcW w:type="dxa" w:w="1700"/>
            <w:tcW w:w="1700" w:type="dxa"/>
          </w:tcPr>
          <w:p>
            <w:pPr>
              <w:spacing w:after="20" w:before="20"/>
            </w:pPr>
            <w:r/>
            <w:r>
              <w:rPr>
                <w:rFonts w:ascii="Calibri" w:hAnsi="Calibri"/>
                <w:b w:val="0"/>
                <w:i w:val="0"/>
                <w:sz w:val="16"/>
              </w:rPr>
              <w:t>Conversion</w:t>
            </w:r>
          </w:p>
        </w:tc>
        <w:tc>
          <w:tcPr>
            <w:tcW w:type="dxa" w:w="3400"/>
            <w:tcW w:w="3400" w:type="dxa"/>
          </w:tcPr>
          <w:p>
            <w:pPr>
              <w:spacing w:after="20" w:before="20"/>
            </w:pPr>
            <w:r/>
            <w:r>
              <w:rPr>
                <w:rFonts w:ascii="Calibri" w:hAnsi="Calibri"/>
                <w:b w:val="0"/>
                <w:i w:val="0"/>
                <w:sz w:val="16"/>
              </w:rPr>
              <w:t>Live enquiry ageing: 361 live; 138 (38.2%) beyond 15 days (extract spans one month, so a 15-day threshold is used)</w:t>
            </w:r>
          </w:p>
        </w:tc>
        <w:tc>
          <w:tcPr>
            <w:tcW w:type="dxa" w:w="3400"/>
            <w:tcW w:w="3400" w:type="dxa"/>
          </w:tcPr>
          <w:p>
            <w:pPr>
              <w:spacing w:after="20" w:before="20"/>
            </w:pPr>
            <w:r/>
            <w:r>
              <w:rPr>
                <w:rFonts w:ascii="Calibri" w:hAnsi="Calibri"/>
                <w:b w:val="0"/>
                <w:i w:val="0"/>
                <w:sz w:val="16"/>
              </w:rPr>
              <w:t>Re-contact the aged list; revive or close each enquiry with a reason code</w:t>
            </w:r>
          </w:p>
        </w:tc>
        <w:tc>
          <w:tcPr>
            <w:tcW w:type="dxa" w:w="1900"/>
            <w:tcW w:w="1900" w:type="dxa"/>
          </w:tcPr>
          <w:p>
            <w:pPr>
              <w:spacing w:after="20" w:before="20"/>
            </w:pPr>
            <w:r/>
            <w:r>
              <w:rPr>
                <w:rFonts w:ascii="Calibri" w:hAnsi="Calibri"/>
                <w:b w:val="0"/>
                <w:i w:val="0"/>
                <w:sz w:val="16"/>
              </w:rPr>
              <w:t>Branch Sales Managers</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Enquiry.xlsx › FETB_EDP_v1_1 › Stage, Enquiry Date</w:t>
            </w:r>
          </w:p>
        </w:tc>
      </w:tr>
      <w:tr>
        <w:tc>
          <w:tcPr>
            <w:tcW w:type="dxa" w:w="560"/>
            <w:tcW w:w="560" w:type="dxa"/>
            <w:shd w:val="clear" w:color="auto" w:fill="F2F5FA"/>
          </w:tcPr>
          <w:p>
            <w:pPr>
              <w:spacing w:after="20" w:before="20"/>
              <w:jc w:val="center"/>
            </w:pPr>
            <w:r/>
            <w:r>
              <w:rPr>
                <w:rFonts w:ascii="Calibri" w:hAnsi="Calibri"/>
                <w:b/>
                <w:i w:val="0"/>
                <w:sz w:val="16"/>
              </w:rPr>
              <w:t>15</w:t>
            </w:r>
          </w:p>
        </w:tc>
        <w:tc>
          <w:tcPr>
            <w:tcW w:type="dxa" w:w="1700"/>
            <w:tcW w:w="1700" w:type="dxa"/>
            <w:shd w:val="clear" w:color="auto" w:fill="F2F5FA"/>
          </w:tcPr>
          <w:p>
            <w:pPr>
              <w:spacing w:after="20" w:before="20"/>
            </w:pPr>
            <w:r/>
            <w:r>
              <w:rPr>
                <w:rFonts w:ascii="Calibri" w:hAnsi="Calibri"/>
                <w:b w:val="0"/>
                <w:i w:val="0"/>
                <w:sz w:val="16"/>
              </w:rPr>
              <w:t>Conversion</w:t>
            </w:r>
          </w:p>
        </w:tc>
        <w:tc>
          <w:tcPr>
            <w:tcW w:type="dxa" w:w="3400"/>
            <w:tcW w:w="3400" w:type="dxa"/>
            <w:shd w:val="clear" w:color="auto" w:fill="F2F5FA"/>
          </w:tcPr>
          <w:p>
            <w:pPr>
              <w:spacing w:after="20" w:before="20"/>
            </w:pPr>
            <w:r/>
            <w:r>
              <w:rPr>
                <w:rFonts w:ascii="Calibri" w:hAnsi="Calibri"/>
                <w:b w:val="0"/>
                <w:i w:val="0"/>
                <w:sz w:val="16"/>
              </w:rPr>
              <w:t>Booking to retail: 30 invoiced from 59 bookings = 50.8%</w:t>
            </w:r>
          </w:p>
        </w:tc>
        <w:tc>
          <w:tcPr>
            <w:tcW w:type="dxa" w:w="3400"/>
            <w:tcW w:w="3400" w:type="dxa"/>
            <w:shd w:val="clear" w:color="auto" w:fill="F2F5FA"/>
          </w:tcPr>
          <w:p>
            <w:pPr>
              <w:spacing w:after="20" w:before="20"/>
            </w:pPr>
            <w:r/>
            <w:r>
              <w:rPr>
                <w:rFonts w:ascii="Calibri" w:hAnsi="Calibri"/>
                <w:b w:val="0"/>
                <w:i w:val="0"/>
                <w:sz w:val="16"/>
              </w:rPr>
              <w:t>Age the open order bank weekly; every booking beyond 30 days to carry a reason and a revised committed date</w:t>
            </w:r>
          </w:p>
        </w:tc>
        <w:tc>
          <w:tcPr>
            <w:tcW w:type="dxa" w:w="1900"/>
            <w:tcW w:w="1900" w:type="dxa"/>
            <w:shd w:val="clear" w:color="auto" w:fill="F2F5FA"/>
          </w:tcPr>
          <w:p>
            <w:pPr>
              <w:spacing w:after="20" w:before="20"/>
            </w:pPr>
            <w:r/>
            <w:r>
              <w:rPr>
                <w:rFonts w:ascii="Calibri" w:hAnsi="Calibri"/>
                <w:b w:val="0"/>
                <w:i w:val="0"/>
                <w:sz w:val="16"/>
              </w:rPr>
              <w:t>Branch Sales Managers</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Booking.xlsx › FETB_EDP_v1_1 › Booking Stage + Retails.xlsx › Export › Invoice Status</w:t>
            </w:r>
          </w:p>
        </w:tc>
      </w:tr>
      <w:tr>
        <w:tc>
          <w:tcPr>
            <w:tcW w:type="dxa" w:w="560"/>
            <w:tcW w:w="560" w:type="dxa"/>
          </w:tcPr>
          <w:p>
            <w:pPr>
              <w:spacing w:after="20" w:before="20"/>
              <w:jc w:val="center"/>
            </w:pPr>
            <w:r/>
            <w:r>
              <w:rPr>
                <w:rFonts w:ascii="Calibri" w:hAnsi="Calibri"/>
                <w:b/>
                <w:i w:val="0"/>
                <w:sz w:val="16"/>
              </w:rPr>
              <w:t>16</w:t>
            </w:r>
          </w:p>
        </w:tc>
        <w:tc>
          <w:tcPr>
            <w:tcW w:type="dxa" w:w="1700"/>
            <w:tcW w:w="1700" w:type="dxa"/>
          </w:tcPr>
          <w:p>
            <w:pPr>
              <w:spacing w:after="20" w:before="20"/>
            </w:pPr>
            <w:r/>
            <w:r>
              <w:rPr>
                <w:rFonts w:ascii="Calibri" w:hAnsi="Calibri"/>
                <w:b w:val="0"/>
                <w:i w:val="0"/>
                <w:sz w:val="16"/>
              </w:rPr>
              <w:t>Volume</w:t>
            </w:r>
          </w:p>
        </w:tc>
        <w:tc>
          <w:tcPr>
            <w:tcW w:type="dxa" w:w="3400"/>
            <w:tcW w:w="3400" w:type="dxa"/>
          </w:tcPr>
          <w:p>
            <w:pPr>
              <w:spacing w:after="20" w:before="20"/>
            </w:pPr>
            <w:r/>
            <w:r>
              <w:rPr>
                <w:rFonts w:ascii="Calibri" w:hAnsi="Calibri"/>
                <w:b w:val="0"/>
                <w:i w:val="0"/>
                <w:sz w:val="16"/>
              </w:rPr>
              <w:t>Test drive against target: 92 recorded over 0.94 months</w:t>
            </w:r>
          </w:p>
        </w:tc>
        <w:tc>
          <w:tcPr>
            <w:tcW w:type="dxa" w:w="3400"/>
            <w:tcW w:w="3400" w:type="dxa"/>
          </w:tcPr>
          <w:p>
            <w:pPr>
              <w:spacing w:after="20" w:before="20"/>
            </w:pPr>
            <w:r/>
            <w:r>
              <w:rPr>
                <w:rFonts w:ascii="Calibri" w:hAnsi="Calibri"/>
                <w:b w:val="0"/>
                <w:i w:val="0"/>
                <w:sz w:val="16"/>
              </w:rPr>
              <w:t xml:space="preserve">Root-cause review of test drive against target with the branch managers; agree a </w:t>
            </w:r>
          </w:p>
        </w:tc>
        <w:tc>
          <w:tcPr>
            <w:tcW w:type="dxa" w:w="1900"/>
            <w:tcW w:w="1900" w:type="dxa"/>
          </w:tcPr>
          <w:p>
            <w:pPr>
              <w:spacing w:after="20" w:before="20"/>
            </w:pPr>
            <w:r/>
            <w:r>
              <w:rPr>
                <w:rFonts w:ascii="Calibri" w:hAnsi="Calibri"/>
                <w:b w:val="0"/>
                <w:i w:val="0"/>
                <w:sz w:val="16"/>
              </w:rPr>
              <w:t>Sales Manager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Test Drive.xlsx › FETB_EDP_v1_1 › Stage  |  Sales_Target_-_Clean.xlsx</w:t>
            </w:r>
          </w:p>
        </w:tc>
      </w:tr>
      <w:tr>
        <w:tc>
          <w:tcPr>
            <w:tcW w:type="dxa" w:w="560"/>
            <w:tcW w:w="560" w:type="dxa"/>
            <w:shd w:val="clear" w:color="auto" w:fill="F2F5FA"/>
          </w:tcPr>
          <w:p>
            <w:pPr>
              <w:spacing w:after="20" w:before="20"/>
              <w:jc w:val="center"/>
            </w:pPr>
            <w:r/>
            <w:r>
              <w:rPr>
                <w:rFonts w:ascii="Calibri" w:hAnsi="Calibri"/>
                <w:b/>
                <w:i w:val="0"/>
                <w:sz w:val="16"/>
              </w:rPr>
              <w:t>17</w:t>
            </w:r>
          </w:p>
        </w:tc>
        <w:tc>
          <w:tcPr>
            <w:tcW w:type="dxa" w:w="1700"/>
            <w:tcW w:w="1700" w:type="dxa"/>
            <w:shd w:val="clear" w:color="auto" w:fill="F2F5FA"/>
          </w:tcPr>
          <w:p>
            <w:pPr>
              <w:spacing w:after="20" w:before="20"/>
            </w:pPr>
            <w:r/>
            <w:r>
              <w:rPr>
                <w:rFonts w:ascii="Calibri" w:hAnsi="Calibri"/>
                <w:b w:val="0"/>
                <w:i w:val="0"/>
                <w:sz w:val="16"/>
              </w:rPr>
              <w:t>Conversion</w:t>
            </w:r>
          </w:p>
        </w:tc>
        <w:tc>
          <w:tcPr>
            <w:tcW w:type="dxa" w:w="3400"/>
            <w:tcW w:w="3400" w:type="dxa"/>
            <w:shd w:val="clear" w:color="auto" w:fill="F2F5FA"/>
          </w:tcPr>
          <w:p>
            <w:pPr>
              <w:spacing w:after="20" w:before="20"/>
            </w:pPr>
            <w:r/>
            <w:r>
              <w:rPr>
                <w:rFonts w:ascii="Calibri" w:hAnsi="Calibri"/>
                <w:b w:val="0"/>
                <w:i w:val="0"/>
                <w:sz w:val="16"/>
              </w:rPr>
              <w:t>Enquiry to test drive: Digital 19.4%; Field 12.9%; Telephone 0.0%; Walk-in 57.5%</w:t>
            </w:r>
          </w:p>
        </w:tc>
        <w:tc>
          <w:tcPr>
            <w:tcW w:type="dxa" w:w="3400"/>
            <w:tcW w:w="3400" w:type="dxa"/>
            <w:shd w:val="clear" w:color="auto" w:fill="F2F5FA"/>
          </w:tcPr>
          <w:p>
            <w:pPr>
              <w:spacing w:after="20" w:before="20"/>
            </w:pPr>
            <w:r/>
            <w:r>
              <w:rPr>
                <w:rFonts w:ascii="Calibri" w:hAnsi="Calibri"/>
                <w:b w:val="0"/>
                <w:i w:val="0"/>
                <w:sz w:val="16"/>
              </w:rPr>
              <w:t>Record the test drive offer with an accept or decline reason on every enquiry; daily TD board by consultant; verify demo availability per branch</w:t>
            </w:r>
          </w:p>
        </w:tc>
        <w:tc>
          <w:tcPr>
            <w:tcW w:type="dxa" w:w="1900"/>
            <w:tcW w:w="1900" w:type="dxa"/>
            <w:shd w:val="clear" w:color="auto" w:fill="F2F5FA"/>
          </w:tcPr>
          <w:p>
            <w:pPr>
              <w:spacing w:after="20" w:before="20"/>
            </w:pPr>
            <w:r/>
            <w:r>
              <w:rPr>
                <w:rFonts w:ascii="Calibri" w:hAnsi="Calibri"/>
                <w:b w:val="0"/>
                <w:i w:val="0"/>
                <w:sz w:val="16"/>
              </w:rPr>
              <w:t>Branch Sales Managers</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Enquiry.xlsx › FETB_EDP_v1_1 › Enquiry Type, Test Drive Stage</w:t>
            </w:r>
          </w:p>
        </w:tc>
      </w:tr>
      <w:tr>
        <w:tc>
          <w:tcPr>
            <w:tcW w:type="dxa" w:w="560"/>
            <w:tcW w:w="560" w:type="dxa"/>
          </w:tcPr>
          <w:p>
            <w:pPr>
              <w:spacing w:after="20" w:before="20"/>
              <w:jc w:val="center"/>
            </w:pPr>
            <w:r/>
            <w:r>
              <w:rPr>
                <w:rFonts w:ascii="Calibri" w:hAnsi="Calibri"/>
                <w:b/>
                <w:i w:val="0"/>
                <w:sz w:val="16"/>
              </w:rPr>
              <w:t>18</w:t>
            </w:r>
          </w:p>
        </w:tc>
        <w:tc>
          <w:tcPr>
            <w:tcW w:type="dxa" w:w="1700"/>
            <w:tcW w:w="1700" w:type="dxa"/>
          </w:tcPr>
          <w:p>
            <w:pPr>
              <w:spacing w:after="20" w:before="20"/>
            </w:pPr>
            <w:r/>
            <w:r>
              <w:rPr>
                <w:rFonts w:ascii="Calibri" w:hAnsi="Calibri"/>
                <w:b w:val="0"/>
                <w:i w:val="0"/>
                <w:sz w:val="16"/>
              </w:rPr>
              <w:t>Enquiry</w:t>
            </w:r>
          </w:p>
        </w:tc>
        <w:tc>
          <w:tcPr>
            <w:tcW w:type="dxa" w:w="3400"/>
            <w:tcW w:w="3400" w:type="dxa"/>
          </w:tcPr>
          <w:p>
            <w:pPr>
              <w:spacing w:after="20" w:before="20"/>
            </w:pPr>
            <w:r/>
            <w:r>
              <w:rPr>
                <w:rFonts w:ascii="Calibri" w:hAnsi="Calibri"/>
                <w:b w:val="0"/>
                <w:i w:val="0"/>
                <w:sz w:val="16"/>
              </w:rPr>
              <w:t>Lost enquiry reason coding: 20 lost, 100.0% reason-coded; 90.0% coded “Not Interested”</w:t>
            </w:r>
          </w:p>
        </w:tc>
        <w:tc>
          <w:tcPr>
            <w:tcW w:type="dxa" w:w="3400"/>
            <w:tcW w:w="3400" w:type="dxa"/>
          </w:tcPr>
          <w:p>
            <w:pPr>
              <w:spacing w:after="20" w:before="20"/>
            </w:pPr>
            <w:r/>
            <w:r>
              <w:rPr>
                <w:rFonts w:ascii="Calibri" w:hAnsi="Calibri"/>
                <w:b w:val="0"/>
                <w:i w:val="0"/>
                <w:sz w:val="16"/>
              </w:rPr>
              <w:t>Restrict the generic loss code; require a sub-reason and a manager countersign</w:t>
            </w:r>
          </w:p>
        </w:tc>
        <w:tc>
          <w:tcPr>
            <w:tcW w:type="dxa" w:w="1900"/>
            <w:tcW w:w="1900" w:type="dxa"/>
          </w:tcPr>
          <w:p>
            <w:pPr>
              <w:spacing w:after="20" w:before="20"/>
            </w:pPr>
            <w:r/>
            <w:r>
              <w:rPr>
                <w:rFonts w:ascii="Calibri" w:hAnsi="Calibri"/>
                <w:b w:val="0"/>
                <w:i w:val="0"/>
                <w:sz w:val="16"/>
              </w:rPr>
              <w:t>Sales CRM / Sales Manager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Enquiry.xlsx › FETB_EDP_v1_1 › Stage, Lost-Reason</w:t>
            </w:r>
          </w:p>
        </w:tc>
      </w:tr>
    </w:tbl>
    <w:p>
      <w:pPr>
        <w:spacing w:before="240" w:after="100"/>
        <w:pBdr>
          <w:bottom w:val="single" w:sz="8" w:color="1F3864" w:space="2"/>
        </w:pBdr>
      </w:pPr>
      <w:r>
        <w:rPr>
          <w:rFonts w:ascii="Calibri" w:hAnsi="Calibri"/>
          <w:b/>
          <w:color w:val="1F3864"/>
          <w:sz w:val="26"/>
        </w:rPr>
        <w:t>Section H — Sign-off</w:t>
      </w:r>
    </w:p>
    <w:tbl>
      <w:tblPr>
        <w:tblStyle w:val="TableGrid"/>
        <w:tblW w:type="auto" w:w="0"/>
        <w:tblLayout w:type="fixed"/>
        <w:tblLook w:firstColumn="1" w:firstRow="1" w:lastColumn="0" w:lastRow="0" w:noHBand="0" w:noVBand="1" w:val="04A0"/>
        <w:tblLayout w:type="fixed"/>
      </w:tblPr>
      <w:tblGrid>
        <w:gridCol w:w="4000"/>
        <w:gridCol w:w="4200"/>
        <w:gridCol w:w="3600"/>
        <w:gridCol w:w="3838"/>
      </w:tblGrid>
      <w:tr>
        <w:tc>
          <w:tcPr>
            <w:tcW w:type="dxa" w:w="3909"/>
            <w:tcW w:w="4000" w:type="dxa"/>
            <w:shd w:val="clear" w:color="auto" w:fill="1F3864"/>
            <w:vAlign w:val="center"/>
          </w:tcPr>
          <w:p>
            <w:pPr>
              <w:spacing w:after="20" w:before="20"/>
              <w:jc w:val="center"/>
            </w:pPr>
            <w:r/>
            <w:r>
              <w:rPr>
                <w:rFonts w:ascii="Calibri" w:hAnsi="Calibri"/>
                <w:b/>
                <w:i w:val="0"/>
                <w:color w:val="FFFFFF"/>
                <w:sz w:val="18"/>
              </w:rPr>
              <w:t>Role</w:t>
            </w:r>
          </w:p>
        </w:tc>
        <w:tc>
          <w:tcPr>
            <w:tcW w:type="dxa" w:w="3909"/>
            <w:tcW w:w="4200" w:type="dxa"/>
            <w:shd w:val="clear" w:color="auto" w:fill="1F3864"/>
            <w:vAlign w:val="center"/>
          </w:tcPr>
          <w:p>
            <w:pPr>
              <w:spacing w:after="20" w:before="20"/>
              <w:jc w:val="center"/>
            </w:pPr>
            <w:r/>
            <w:r>
              <w:rPr>
                <w:rFonts w:ascii="Calibri" w:hAnsi="Calibri"/>
                <w:b/>
                <w:i w:val="0"/>
                <w:color w:val="FFFFFF"/>
                <w:sz w:val="18"/>
              </w:rPr>
              <w:t>Name</w:t>
            </w:r>
          </w:p>
        </w:tc>
        <w:tc>
          <w:tcPr>
            <w:tcW w:type="dxa" w:w="3909"/>
            <w:tcW w:w="3600" w:type="dxa"/>
            <w:shd w:val="clear" w:color="auto" w:fill="1F3864"/>
            <w:vAlign w:val="center"/>
          </w:tcPr>
          <w:p>
            <w:pPr>
              <w:spacing w:after="20" w:before="20"/>
              <w:jc w:val="center"/>
            </w:pPr>
            <w:r/>
            <w:r>
              <w:rPr>
                <w:rFonts w:ascii="Calibri" w:hAnsi="Calibri"/>
                <w:b/>
                <w:i w:val="0"/>
                <w:color w:val="FFFFFF"/>
                <w:sz w:val="18"/>
              </w:rPr>
              <w:t>Signature</w:t>
            </w:r>
          </w:p>
        </w:tc>
        <w:tc>
          <w:tcPr>
            <w:tcW w:type="dxa" w:w="3909"/>
            <w:tcW w:w="3838" w:type="dxa"/>
            <w:shd w:val="clear" w:color="auto" w:fill="1F3864"/>
            <w:vAlign w:val="center"/>
          </w:tcPr>
          <w:p>
            <w:pPr>
              <w:spacing w:after="20" w:before="20"/>
              <w:jc w:val="center"/>
            </w:pPr>
            <w:r/>
            <w:r>
              <w:rPr>
                <w:rFonts w:ascii="Calibri" w:hAnsi="Calibri"/>
                <w:b/>
                <w:i w:val="0"/>
                <w:color w:val="FFFFFF"/>
                <w:sz w:val="18"/>
              </w:rPr>
              <w:t>Date</w:t>
            </w:r>
          </w:p>
        </w:tc>
      </w:tr>
      <w:tr>
        <w:tc>
          <w:tcPr>
            <w:tcW w:type="dxa" w:w="4000"/>
            <w:tcW w:w="4000" w:type="dxa"/>
          </w:tcPr>
          <w:p>
            <w:pPr>
              <w:spacing w:after="20" w:before="20"/>
            </w:pPr>
            <w:r/>
            <w:r>
              <w:rPr>
                <w:rFonts w:ascii="Calibri" w:hAnsi="Calibri"/>
                <w:b/>
                <w:i w:val="0"/>
                <w:sz w:val="18"/>
              </w:rPr>
              <w:t>Auditor</w:t>
            </w:r>
          </w:p>
        </w:tc>
        <w:tc>
          <w:tcPr>
            <w:tcW w:type="dxa" w:w="4200"/>
            <w:tcW w:w="4200" w:type="dxa"/>
          </w:tcPr>
          <w:p>
            <w:pPr>
              <w:spacing w:after="20" w:before="20"/>
            </w:pPr>
            <w:r/>
            <w:r>
              <w:rPr>
                <w:rFonts w:ascii="Calibri" w:hAnsi="Calibri"/>
                <w:b w:val="0"/>
                <w:i w:val="0"/>
                <w:sz w:val="18"/>
              </w:rPr>
            </w:r>
          </w:p>
        </w:tc>
        <w:tc>
          <w:tcPr>
            <w:tcW w:type="dxa" w:w="3600"/>
            <w:tcW w:w="3600" w:type="dxa"/>
          </w:tcPr>
          <w:p>
            <w:pPr>
              <w:spacing w:after="20" w:before="20"/>
            </w:pPr>
            <w:r/>
            <w:r>
              <w:rPr>
                <w:rFonts w:ascii="Calibri" w:hAnsi="Calibri"/>
                <w:b w:val="0"/>
                <w:i w:val="0"/>
                <w:sz w:val="18"/>
              </w:rPr>
            </w:r>
          </w:p>
        </w:tc>
        <w:tc>
          <w:tcPr>
            <w:tcW w:type="dxa" w:w="3838"/>
            <w:tcW w:w="3838" w:type="dxa"/>
          </w:tcPr>
          <w:p>
            <w:pPr>
              <w:spacing w:after="20" w:before="20"/>
            </w:pPr>
            <w:r/>
            <w:r>
              <w:rPr>
                <w:rFonts w:ascii="Calibri" w:hAnsi="Calibri"/>
                <w:b w:val="0"/>
                <w:i w:val="0"/>
                <w:sz w:val="18"/>
              </w:rPr>
            </w:r>
          </w:p>
        </w:tc>
      </w:tr>
      <w:tr>
        <w:tc>
          <w:tcPr>
            <w:tcW w:type="dxa" w:w="4000"/>
            <w:tcW w:w="4000" w:type="dxa"/>
            <w:shd w:val="clear" w:color="auto" w:fill="F2F5FA"/>
          </w:tcPr>
          <w:p>
            <w:pPr>
              <w:spacing w:after="20" w:before="20"/>
            </w:pPr>
            <w:r/>
            <w:r>
              <w:rPr>
                <w:rFonts w:ascii="Calibri" w:hAnsi="Calibri"/>
                <w:b/>
                <w:i w:val="0"/>
                <w:sz w:val="18"/>
              </w:rPr>
              <w:t>Sales Manager</w:t>
            </w:r>
          </w:p>
        </w:tc>
        <w:tc>
          <w:tcPr>
            <w:tcW w:type="dxa" w:w="4200"/>
            <w:tcW w:w="4200" w:type="dxa"/>
            <w:shd w:val="clear" w:color="auto" w:fill="F2F5FA"/>
          </w:tcPr>
          <w:p>
            <w:pPr>
              <w:spacing w:after="20" w:before="20"/>
            </w:pPr>
            <w:r/>
            <w:r>
              <w:rPr>
                <w:rFonts w:ascii="Calibri" w:hAnsi="Calibri"/>
                <w:b w:val="0"/>
                <w:i w:val="0"/>
                <w:sz w:val="18"/>
              </w:rPr>
            </w:r>
          </w:p>
        </w:tc>
        <w:tc>
          <w:tcPr>
            <w:tcW w:type="dxa" w:w="3600"/>
            <w:tcW w:w="3600" w:type="dxa"/>
            <w:shd w:val="clear" w:color="auto" w:fill="F2F5FA"/>
          </w:tcPr>
          <w:p>
            <w:pPr>
              <w:spacing w:after="20" w:before="20"/>
            </w:pPr>
            <w:r/>
            <w:r>
              <w:rPr>
                <w:rFonts w:ascii="Calibri" w:hAnsi="Calibri"/>
                <w:b w:val="0"/>
                <w:i w:val="0"/>
                <w:sz w:val="18"/>
              </w:rPr>
            </w:r>
          </w:p>
        </w:tc>
        <w:tc>
          <w:tcPr>
            <w:tcW w:type="dxa" w:w="3838"/>
            <w:tcW w:w="3838" w:type="dxa"/>
            <w:shd w:val="clear" w:color="auto" w:fill="F2F5FA"/>
          </w:tcPr>
          <w:p>
            <w:pPr>
              <w:spacing w:after="20" w:before="20"/>
            </w:pPr>
            <w:r/>
            <w:r>
              <w:rPr>
                <w:rFonts w:ascii="Calibri" w:hAnsi="Calibri"/>
                <w:b w:val="0"/>
                <w:i w:val="0"/>
                <w:sz w:val="18"/>
              </w:rPr>
            </w:r>
          </w:p>
        </w:tc>
      </w:tr>
      <w:tr>
        <w:tc>
          <w:tcPr>
            <w:tcW w:type="dxa" w:w="4000"/>
            <w:tcW w:w="4000" w:type="dxa"/>
          </w:tcPr>
          <w:p>
            <w:pPr>
              <w:spacing w:after="20" w:before="20"/>
            </w:pPr>
            <w:r/>
            <w:r>
              <w:rPr>
                <w:rFonts w:ascii="Calibri" w:hAnsi="Calibri"/>
                <w:b/>
                <w:i w:val="0"/>
                <w:sz w:val="18"/>
              </w:rPr>
              <w:t>Sales GM</w:t>
            </w:r>
          </w:p>
        </w:tc>
        <w:tc>
          <w:tcPr>
            <w:tcW w:type="dxa" w:w="4200"/>
            <w:tcW w:w="4200" w:type="dxa"/>
          </w:tcPr>
          <w:p>
            <w:pPr>
              <w:spacing w:after="20" w:before="20"/>
            </w:pPr>
            <w:r/>
            <w:r>
              <w:rPr>
                <w:rFonts w:ascii="Calibri" w:hAnsi="Calibri"/>
                <w:b w:val="0"/>
                <w:i w:val="0"/>
                <w:sz w:val="18"/>
              </w:rPr>
            </w:r>
          </w:p>
        </w:tc>
        <w:tc>
          <w:tcPr>
            <w:tcW w:type="dxa" w:w="3600"/>
            <w:tcW w:w="3600" w:type="dxa"/>
          </w:tcPr>
          <w:p>
            <w:pPr>
              <w:spacing w:after="20" w:before="20"/>
            </w:pPr>
            <w:r/>
            <w:r>
              <w:rPr>
                <w:rFonts w:ascii="Calibri" w:hAnsi="Calibri"/>
                <w:b w:val="0"/>
                <w:i w:val="0"/>
                <w:sz w:val="18"/>
              </w:rPr>
            </w:r>
          </w:p>
        </w:tc>
        <w:tc>
          <w:tcPr>
            <w:tcW w:type="dxa" w:w="3838"/>
            <w:tcW w:w="3838" w:type="dxa"/>
          </w:tcPr>
          <w:p>
            <w:pPr>
              <w:spacing w:after="20" w:before="20"/>
            </w:pPr>
            <w:r/>
            <w:r>
              <w:rPr>
                <w:rFonts w:ascii="Calibri" w:hAnsi="Calibri"/>
                <w:b w:val="0"/>
                <w:i w:val="0"/>
                <w:sz w:val="18"/>
              </w:rPr>
            </w:r>
          </w:p>
        </w:tc>
      </w:tr>
      <w:tr>
        <w:tc>
          <w:tcPr>
            <w:tcW w:type="dxa" w:w="4000"/>
            <w:tcW w:w="4000" w:type="dxa"/>
            <w:shd w:val="clear" w:color="auto" w:fill="F2F5FA"/>
          </w:tcPr>
          <w:p>
            <w:pPr>
              <w:spacing w:after="20" w:before="20"/>
            </w:pPr>
            <w:r/>
            <w:r>
              <w:rPr>
                <w:rFonts w:ascii="Calibri" w:hAnsi="Calibri"/>
                <w:b/>
                <w:i w:val="0"/>
                <w:sz w:val="18"/>
              </w:rPr>
              <w:t>OEM Area Sales Manager</w:t>
            </w:r>
          </w:p>
        </w:tc>
        <w:tc>
          <w:tcPr>
            <w:tcW w:type="dxa" w:w="4200"/>
            <w:tcW w:w="4200" w:type="dxa"/>
            <w:shd w:val="clear" w:color="auto" w:fill="F2F5FA"/>
          </w:tcPr>
          <w:p>
            <w:pPr>
              <w:spacing w:after="20" w:before="20"/>
            </w:pPr>
            <w:r/>
            <w:r>
              <w:rPr>
                <w:rFonts w:ascii="Calibri" w:hAnsi="Calibri"/>
                <w:b w:val="0"/>
                <w:i w:val="0"/>
                <w:sz w:val="18"/>
              </w:rPr>
            </w:r>
          </w:p>
        </w:tc>
        <w:tc>
          <w:tcPr>
            <w:tcW w:type="dxa" w:w="3600"/>
            <w:tcW w:w="3600" w:type="dxa"/>
            <w:shd w:val="clear" w:color="auto" w:fill="F2F5FA"/>
          </w:tcPr>
          <w:p>
            <w:pPr>
              <w:spacing w:after="20" w:before="20"/>
            </w:pPr>
            <w:r/>
            <w:r>
              <w:rPr>
                <w:rFonts w:ascii="Calibri" w:hAnsi="Calibri"/>
                <w:b w:val="0"/>
                <w:i w:val="0"/>
                <w:sz w:val="18"/>
              </w:rPr>
            </w:r>
          </w:p>
        </w:tc>
        <w:tc>
          <w:tcPr>
            <w:tcW w:type="dxa" w:w="3838"/>
            <w:tcW w:w="3838" w:type="dxa"/>
            <w:shd w:val="clear" w:color="auto" w:fill="F2F5FA"/>
          </w:tcPr>
          <w:p>
            <w:pPr>
              <w:spacing w:after="20" w:before="20"/>
            </w:pPr>
            <w:r/>
            <w:r>
              <w:rPr>
                <w:rFonts w:ascii="Calibri" w:hAnsi="Calibri"/>
                <w:b w:val="0"/>
                <w:i w:val="0"/>
                <w:sz w:val="18"/>
              </w:rPr>
            </w:r>
          </w:p>
        </w:tc>
      </w:tr>
    </w:tbl>
    <w:p>
      <w:pPr>
        <w:spacing w:after="0"/>
      </w:pPr>
      <w:r>
        <w:rPr>
          <w:rFonts w:ascii="Calibri" w:hAnsi="Calibri"/>
          <w:b w:val="0"/>
          <w:sz w:val="18"/>
        </w:rPr>
        <w:t>Next audit due on: ______________          Re-audit required (index below 60): Yes / No</w:t>
      </w:r>
    </w:p>
    <w:sectPr w:rsidR="00FC693F" w:rsidRPr="0006063C" w:rsidSect="00034616">
      <w:pgSz w:w="16838" w:h="11906" w:orient="landscape"/>
      <w:pgMar w:top="600" w:right="600" w:bottom="600" w:left="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