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8F1C" w14:textId="68F88C34" w:rsidR="002F6FFA" w:rsidRPr="002F6FFA" w:rsidRDefault="002F6FFA" w:rsidP="00C112BA">
      <w:pPr>
        <w:pStyle w:val="Heading1"/>
      </w:pPr>
      <w:r w:rsidRPr="002F6FFA">
        <w:t>Challenge</w:t>
      </w:r>
    </w:p>
    <w:p w14:paraId="26D6133E" w14:textId="77777777" w:rsidR="002F6FFA" w:rsidRPr="002F6FFA" w:rsidRDefault="002F6FFA" w:rsidP="002F6FFA">
      <w:r w:rsidRPr="002F6FFA">
        <w:t>Millions worldwide live with diabetes, facing significant health risks and financial burdens. Despite ongoing research, the need for breakthroughs in prevention, management, and potential cures remains dire.</w:t>
      </w:r>
    </w:p>
    <w:p w14:paraId="7DAD04D7" w14:textId="22279B68" w:rsidR="002F6FFA" w:rsidRPr="002F6FFA" w:rsidRDefault="002F6FFA" w:rsidP="00C112BA">
      <w:pPr>
        <w:pStyle w:val="Heading1"/>
      </w:pPr>
      <w:r w:rsidRPr="002F6FFA">
        <w:t>Vision</w:t>
      </w:r>
    </w:p>
    <w:p w14:paraId="719FABB5" w14:textId="77777777" w:rsidR="002F6FFA" w:rsidRPr="002F6FFA" w:rsidRDefault="002F6FFA" w:rsidP="002F6FFA">
      <w:r w:rsidRPr="002F6FFA">
        <w:t>The DRH envisions a future free from diabetes, where both Type 1 and Type 2 diabetes are effectively prevented, managed, and ultimately cured.</w:t>
      </w:r>
    </w:p>
    <w:p w14:paraId="158B257C" w14:textId="6481A990" w:rsidR="002F6FFA" w:rsidRPr="002F6FFA" w:rsidRDefault="002F6FFA" w:rsidP="00C112BA">
      <w:pPr>
        <w:pStyle w:val="Heading1"/>
      </w:pPr>
      <w:r w:rsidRPr="002F6FFA">
        <w:t>Mission</w:t>
      </w:r>
    </w:p>
    <w:p w14:paraId="1629BAB9" w14:textId="77777777" w:rsidR="002F6FFA" w:rsidRPr="002F6FFA" w:rsidRDefault="002F6FFA" w:rsidP="002F6FFA">
      <w:r w:rsidRPr="002F6FFA">
        <w:t>The DRH is a comprehensive data ecosystem designed to accelerate breakthroughs in diabetes research. We empower researchers by unlocking the potential of data trapped in proprietary medical devices and health systems. By creating a secure and user-friendly platform for data collection, analysis, and collaboration, the DRH fuels next-generation research using AI and ML to develop personalized and effective solutions for diabetes.</w:t>
      </w:r>
    </w:p>
    <w:p w14:paraId="59ED1948" w14:textId="5D52EFC6" w:rsidR="002F6FFA" w:rsidRPr="002F6FFA" w:rsidRDefault="002F6FFA" w:rsidP="00C112BA">
      <w:pPr>
        <w:pStyle w:val="Heading1"/>
      </w:pPr>
      <w:r w:rsidRPr="002F6FFA">
        <w:t>Long-Term Strategy</w:t>
      </w:r>
    </w:p>
    <w:p w14:paraId="77EFC355" w14:textId="77777777" w:rsidR="002F6FFA" w:rsidRPr="002F6FFA" w:rsidRDefault="002F6FFA" w:rsidP="002F6FFA">
      <w:r w:rsidRPr="002F6FFA">
        <w:t>The DRH is committed to a long-term strategy focused on three key pillars:</w:t>
      </w:r>
    </w:p>
    <w:p w14:paraId="44258E76" w14:textId="77777777" w:rsidR="002F6FFA" w:rsidRPr="002F6FFA" w:rsidRDefault="002F6FFA" w:rsidP="002F6FFA">
      <w:pPr>
        <w:numPr>
          <w:ilvl w:val="0"/>
          <w:numId w:val="3"/>
        </w:numPr>
      </w:pPr>
      <w:r w:rsidRPr="002F6FFA">
        <w:rPr>
          <w:b/>
          <w:bCs/>
        </w:rPr>
        <w:t>Data Liberation:</w:t>
      </w:r>
      <w:r w:rsidRPr="002F6FFA">
        <w:t> Partnering with research institutions, NIH, health systems, </w:t>
      </w:r>
      <w:r w:rsidRPr="002F6FFA">
        <w:rPr>
          <w:b/>
          <w:bCs/>
        </w:rPr>
        <w:t>device manufacturers (e.g., Dexcom, Medtronic)</w:t>
      </w:r>
      <w:r w:rsidRPr="002F6FFA">
        <w:t>, and </w:t>
      </w:r>
      <w:r w:rsidRPr="002F6FFA">
        <w:rPr>
          <w:b/>
          <w:bCs/>
        </w:rPr>
        <w:t>patients</w:t>
      </w:r>
      <w:r w:rsidRPr="002F6FFA">
        <w:t> to integrate data from diverse sources, including CGM, clinical records, genetic data, patient-reported outcomes, and device usage data.</w:t>
      </w:r>
    </w:p>
    <w:p w14:paraId="6FD724FF" w14:textId="77777777" w:rsidR="002F6FFA" w:rsidRPr="002F6FFA" w:rsidRDefault="002F6FFA" w:rsidP="002F6FFA">
      <w:pPr>
        <w:numPr>
          <w:ilvl w:val="0"/>
          <w:numId w:val="3"/>
        </w:numPr>
      </w:pPr>
      <w:r w:rsidRPr="002F6FFA">
        <w:rPr>
          <w:b/>
          <w:bCs/>
        </w:rPr>
        <w:t>Empowering Researchers:</w:t>
      </w:r>
      <w:r w:rsidRPr="002F6FFA">
        <w:t> Providing a user-friendly platform with advanced analytics tools and fostering collaboration among researchers around the globe.</w:t>
      </w:r>
    </w:p>
    <w:p w14:paraId="2BB34C90" w14:textId="77777777" w:rsidR="002F6FFA" w:rsidRPr="002F6FFA" w:rsidRDefault="002F6FFA" w:rsidP="002F6FFA">
      <w:pPr>
        <w:numPr>
          <w:ilvl w:val="0"/>
          <w:numId w:val="3"/>
        </w:numPr>
      </w:pPr>
      <w:r w:rsidRPr="002F6FFA">
        <w:rPr>
          <w:b/>
          <w:bCs/>
        </w:rPr>
        <w:t>Innovation Catalyst:</w:t>
      </w:r>
      <w:r w:rsidRPr="002F6FFA">
        <w:t> Acting as the lynchpin for AI and ML advancements in diabetes research, leading to the development of personalized prevention, management, and potential cures.</w:t>
      </w:r>
    </w:p>
    <w:p w14:paraId="188D08F5" w14:textId="51C55F70" w:rsidR="002F6FFA" w:rsidRPr="002F6FFA" w:rsidRDefault="002F6FFA" w:rsidP="00C112BA">
      <w:pPr>
        <w:pStyle w:val="Heading1"/>
      </w:pPr>
      <w:r w:rsidRPr="002F6FFA">
        <w:t>Benefits for Stakeholders</w:t>
      </w:r>
    </w:p>
    <w:p w14:paraId="759D4DE8" w14:textId="77777777" w:rsidR="002F6FFA" w:rsidRPr="002F6FFA" w:rsidRDefault="002F6FFA" w:rsidP="002F6FFA">
      <w:pPr>
        <w:numPr>
          <w:ilvl w:val="0"/>
          <w:numId w:val="4"/>
        </w:numPr>
      </w:pPr>
      <w:r w:rsidRPr="002F6FFA">
        <w:rPr>
          <w:b/>
          <w:bCs/>
        </w:rPr>
        <w:t>Research Institutions:</w:t>
      </w:r>
      <w:r w:rsidRPr="002F6FFA">
        <w:t> Gain access to a vast, standardized data repository to accelerate research efforts.</w:t>
      </w:r>
    </w:p>
    <w:p w14:paraId="2EC2B23F" w14:textId="77777777" w:rsidR="002F6FFA" w:rsidRPr="002F6FFA" w:rsidRDefault="002F6FFA" w:rsidP="002F6FFA">
      <w:pPr>
        <w:numPr>
          <w:ilvl w:val="0"/>
          <w:numId w:val="4"/>
        </w:numPr>
      </w:pPr>
      <w:r w:rsidRPr="002F6FFA">
        <w:rPr>
          <w:b/>
          <w:bCs/>
        </w:rPr>
        <w:t>NIH:</w:t>
      </w:r>
      <w:r w:rsidRPr="002F6FFA">
        <w:t> Facilitate groundbreaking discoveries and fulfill the mandate for a secure data storage bank for NIH-funded researchers.</w:t>
      </w:r>
    </w:p>
    <w:p w14:paraId="7E3CE330" w14:textId="77777777" w:rsidR="002F6FFA" w:rsidRPr="002F6FFA" w:rsidRDefault="002F6FFA" w:rsidP="002F6FFA">
      <w:pPr>
        <w:numPr>
          <w:ilvl w:val="0"/>
          <w:numId w:val="4"/>
        </w:numPr>
      </w:pPr>
      <w:r w:rsidRPr="002F6FFA">
        <w:rPr>
          <w:b/>
          <w:bCs/>
        </w:rPr>
        <w:lastRenderedPageBreak/>
        <w:t>Health Systems:</w:t>
      </w:r>
      <w:r w:rsidRPr="002F6FFA">
        <w:t> Contribute to improved patient outcomes by fostering research that leads to more effective treatments and management strategies.</w:t>
      </w:r>
    </w:p>
    <w:p w14:paraId="00E4B382" w14:textId="77777777" w:rsidR="002F6FFA" w:rsidRPr="002F6FFA" w:rsidRDefault="002F6FFA" w:rsidP="002F6FFA">
      <w:pPr>
        <w:numPr>
          <w:ilvl w:val="0"/>
          <w:numId w:val="4"/>
        </w:numPr>
      </w:pPr>
      <w:r w:rsidRPr="002F6FFA">
        <w:rPr>
          <w:b/>
          <w:bCs/>
        </w:rPr>
        <w:t>Patients:</w:t>
      </w:r>
      <w:r w:rsidRPr="002F6FFA">
        <w:t> Gain access to insights from anonymized data analysis, potentially leading to improved self-management and personalized care plans.</w:t>
      </w:r>
    </w:p>
    <w:p w14:paraId="60C73A7F" w14:textId="77777777" w:rsidR="002F6FFA" w:rsidRPr="002F6FFA" w:rsidRDefault="002F6FFA" w:rsidP="002F6FFA">
      <w:pPr>
        <w:numPr>
          <w:ilvl w:val="0"/>
          <w:numId w:val="4"/>
        </w:numPr>
      </w:pPr>
      <w:r w:rsidRPr="002F6FFA">
        <w:rPr>
          <w:b/>
          <w:bCs/>
        </w:rPr>
        <w:t>Device Manufacturers (e.g., Dexcom, Medtronic):</w:t>
      </w:r>
      <w:r w:rsidRPr="002F6FFA">
        <w:t> Contribute to product development and innovation by understanding real-world device usage patterns and patient needs.</w:t>
      </w:r>
    </w:p>
    <w:p w14:paraId="561C03C9" w14:textId="77777777" w:rsidR="002F6FFA" w:rsidRPr="002F6FFA" w:rsidRDefault="002F6FFA" w:rsidP="002F6FFA">
      <w:pPr>
        <w:numPr>
          <w:ilvl w:val="0"/>
          <w:numId w:val="4"/>
        </w:numPr>
      </w:pPr>
      <w:r w:rsidRPr="002F6FFA">
        <w:rPr>
          <w:b/>
          <w:bCs/>
        </w:rPr>
        <w:t>Telecom Vendors (e.g., Samsung):</w:t>
      </w:r>
      <w:r w:rsidRPr="002F6FFA">
        <w:t> Develop integrated solutions for data transmission and secure storage within the DRH framework.</w:t>
      </w:r>
    </w:p>
    <w:p w14:paraId="0BCA1FAC" w14:textId="1BEB23BB" w:rsidR="002F6FFA" w:rsidRPr="002F6FFA" w:rsidRDefault="002F6FFA" w:rsidP="00C112BA">
      <w:pPr>
        <w:pStyle w:val="Heading1"/>
      </w:pPr>
      <w:r w:rsidRPr="002F6FFA">
        <w:t>Call to Action</w:t>
      </w:r>
    </w:p>
    <w:p w14:paraId="642DC14E" w14:textId="77777777" w:rsidR="002F6FFA" w:rsidRPr="002F6FFA" w:rsidRDefault="002F6FFA" w:rsidP="002F6FFA">
      <w:r w:rsidRPr="002F6FFA">
        <w:t>The DRH invites collaboration from a wide range of stakeholders:</w:t>
      </w:r>
    </w:p>
    <w:p w14:paraId="4A5DB38A" w14:textId="77777777" w:rsidR="002F6FFA" w:rsidRPr="002F6FFA" w:rsidRDefault="002F6FFA" w:rsidP="002F6FFA">
      <w:pPr>
        <w:numPr>
          <w:ilvl w:val="0"/>
          <w:numId w:val="5"/>
        </w:numPr>
      </w:pPr>
      <w:r w:rsidRPr="002F6FFA">
        <w:rPr>
          <w:b/>
          <w:bCs/>
        </w:rPr>
        <w:t>Research institutions:</w:t>
      </w:r>
      <w:r w:rsidRPr="002F6FFA">
        <w:t> Join us in shaping research priorities and leveraging the DRH platform to accelerate groundbreaking discoveries.</w:t>
      </w:r>
    </w:p>
    <w:p w14:paraId="07BD85AF" w14:textId="77777777" w:rsidR="002F6FFA" w:rsidRPr="002F6FFA" w:rsidRDefault="002F6FFA" w:rsidP="002F6FFA">
      <w:pPr>
        <w:numPr>
          <w:ilvl w:val="0"/>
          <w:numId w:val="5"/>
        </w:numPr>
      </w:pPr>
      <w:r w:rsidRPr="002F6FFA">
        <w:rPr>
          <w:b/>
          <w:bCs/>
        </w:rPr>
        <w:t>National Institutes of Health (NIH):</w:t>
      </w:r>
      <w:r w:rsidRPr="002F6FFA">
        <w:t> Partner with us to fulfill the mandate for a secure data storage bank and accelerate NIH-funded research efforts.</w:t>
      </w:r>
    </w:p>
    <w:p w14:paraId="0CBE482B" w14:textId="77777777" w:rsidR="002F6FFA" w:rsidRPr="002F6FFA" w:rsidRDefault="002F6FFA" w:rsidP="002F6FFA">
      <w:pPr>
        <w:numPr>
          <w:ilvl w:val="0"/>
          <w:numId w:val="5"/>
        </w:numPr>
      </w:pPr>
      <w:r w:rsidRPr="002F6FFA">
        <w:rPr>
          <w:b/>
          <w:bCs/>
        </w:rPr>
        <w:t>Health Systems:</w:t>
      </w:r>
      <w:r w:rsidRPr="002F6FFA">
        <w:t> Contribute patient data and clinical expertise to inform research that translates into improved patient care.</w:t>
      </w:r>
    </w:p>
    <w:p w14:paraId="7AE358EF" w14:textId="77777777" w:rsidR="002F6FFA" w:rsidRPr="002F6FFA" w:rsidRDefault="002F6FFA" w:rsidP="002F6FFA">
      <w:pPr>
        <w:numPr>
          <w:ilvl w:val="0"/>
          <w:numId w:val="5"/>
        </w:numPr>
      </w:pPr>
      <w:r w:rsidRPr="002F6FFA">
        <w:rPr>
          <w:b/>
          <w:bCs/>
        </w:rPr>
        <w:t>Medical Device Manufacturers (e.g., Dexcom, Medtronic):</w:t>
      </w:r>
      <w:r w:rsidRPr="002F6FFA">
        <w:t> Work with us to integrate your devices with the DRH platform and unlock the potential of real-world device usage data.</w:t>
      </w:r>
    </w:p>
    <w:p w14:paraId="7ED7B551" w14:textId="77777777" w:rsidR="002F6FFA" w:rsidRPr="002F6FFA" w:rsidRDefault="002F6FFA" w:rsidP="002F6FFA">
      <w:pPr>
        <w:numPr>
          <w:ilvl w:val="0"/>
          <w:numId w:val="5"/>
        </w:numPr>
      </w:pPr>
      <w:r w:rsidRPr="002F6FFA">
        <w:rPr>
          <w:b/>
          <w:bCs/>
        </w:rPr>
        <w:t>Telecom Vendors (e.g., Samsung):</w:t>
      </w:r>
      <w:r w:rsidRPr="002F6FFA">
        <w:t> Collaborate on developing secure and efficient data transmission solutions for the DRH.</w:t>
      </w:r>
    </w:p>
    <w:p w14:paraId="3453E53B" w14:textId="77777777" w:rsidR="002F6FFA" w:rsidRPr="002F6FFA" w:rsidRDefault="002F6FFA" w:rsidP="002F6FFA">
      <w:pPr>
        <w:numPr>
          <w:ilvl w:val="0"/>
          <w:numId w:val="5"/>
        </w:numPr>
      </w:pPr>
      <w:r w:rsidRPr="002F6FFA">
        <w:rPr>
          <w:b/>
          <w:bCs/>
        </w:rPr>
        <w:t>Patients:</w:t>
      </w:r>
      <w:r w:rsidRPr="002F6FFA">
        <w:t> Become active participants in research by contributing your anonymized data to the DRH and shaping the future of diabetes care.</w:t>
      </w:r>
    </w:p>
    <w:p w14:paraId="305D3953" w14:textId="77777777" w:rsidR="00C112BA" w:rsidRPr="00C112BA" w:rsidRDefault="00C112BA" w:rsidP="00C112BA">
      <w:pPr>
        <w:pStyle w:val="Heading1"/>
      </w:pPr>
      <w:r w:rsidRPr="00C112BA">
        <w:t>Why the Diabetes Technology Society (DTS) Needs to Lead the DRH</w:t>
      </w:r>
    </w:p>
    <w:p w14:paraId="036CE7EB" w14:textId="77777777" w:rsidR="00C112BA" w:rsidRPr="00C112BA" w:rsidRDefault="00C112BA" w:rsidP="00C112BA">
      <w:r w:rsidRPr="00C112BA">
        <w:t>The Diabetes Technology Society (DTS) is uniquely positioned to spearhead the Diabetes Research Hub (DRH) for several compelling reasons:</w:t>
      </w:r>
    </w:p>
    <w:p w14:paraId="0409CFC8" w14:textId="77777777" w:rsidR="00C112BA" w:rsidRPr="00C112BA" w:rsidRDefault="00C112BA" w:rsidP="00C112BA">
      <w:pPr>
        <w:numPr>
          <w:ilvl w:val="0"/>
          <w:numId w:val="6"/>
        </w:numPr>
      </w:pPr>
      <w:r w:rsidRPr="00C112BA">
        <w:rPr>
          <w:b/>
          <w:bCs/>
        </w:rPr>
        <w:t>Trusted Leadership:</w:t>
      </w:r>
      <w:r w:rsidRPr="00C112BA">
        <w:t> DTS has a long-standing reputation as a leading advocate for advancements in diabetes technology. This established credibility fosters trust from researchers, patients, and industry stakeholders, critical for a collaborative initiative like the DRH.</w:t>
      </w:r>
    </w:p>
    <w:p w14:paraId="0774E1FC" w14:textId="77777777" w:rsidR="00C112BA" w:rsidRPr="00C112BA" w:rsidRDefault="00C112BA" w:rsidP="00C112BA">
      <w:pPr>
        <w:numPr>
          <w:ilvl w:val="0"/>
          <w:numId w:val="6"/>
        </w:numPr>
      </w:pPr>
      <w:r w:rsidRPr="00C112BA">
        <w:rPr>
          <w:b/>
          <w:bCs/>
        </w:rPr>
        <w:t>Patient-Centric Focus:</w:t>
      </w:r>
      <w:r w:rsidRPr="00C112BA">
        <w:t> DTS prioritizes patient needs and empowerment. By leading the DRH, DTS ensures the platform prioritizes data privacy and empowers patients to contribute meaningfully to research, shaping the future of diabetes care.</w:t>
      </w:r>
    </w:p>
    <w:p w14:paraId="2A0E281C" w14:textId="77777777" w:rsidR="00C112BA" w:rsidRPr="00C112BA" w:rsidRDefault="00C112BA" w:rsidP="00C112BA">
      <w:pPr>
        <w:numPr>
          <w:ilvl w:val="0"/>
          <w:numId w:val="6"/>
        </w:numPr>
      </w:pPr>
      <w:r w:rsidRPr="00C112BA">
        <w:rPr>
          <w:b/>
          <w:bCs/>
        </w:rPr>
        <w:lastRenderedPageBreak/>
        <w:t>Existing Network:</w:t>
      </w:r>
      <w:r w:rsidRPr="00C112BA">
        <w:t> DTS has fostered a robust network of researchers, clinicians, device manufacturers, and patient advocacy groups. This network provides a strong foundation for collaboration and rapid adoption of the DRH.</w:t>
      </w:r>
    </w:p>
    <w:p w14:paraId="7C259069" w14:textId="77777777" w:rsidR="00C112BA" w:rsidRPr="00C112BA" w:rsidRDefault="00C112BA" w:rsidP="00C112BA">
      <w:pPr>
        <w:numPr>
          <w:ilvl w:val="0"/>
          <w:numId w:val="6"/>
        </w:numPr>
      </w:pPr>
      <w:r w:rsidRPr="00C112BA">
        <w:rPr>
          <w:b/>
          <w:bCs/>
        </w:rPr>
        <w:t>Expertise in Data Security &amp; Standards:</w:t>
      </w:r>
      <w:r w:rsidRPr="00C112BA">
        <w:t> DTS actively promotes data security standards for connected diabetes devices (e.g., DTSec). This expertise is crucial for establishing a secure and trustworthy data storage and analysis platform within the DRH.</w:t>
      </w:r>
    </w:p>
    <w:p w14:paraId="48220EF8" w14:textId="77777777" w:rsidR="00C112BA" w:rsidRPr="00C112BA" w:rsidRDefault="00C112BA" w:rsidP="00C112BA">
      <w:pPr>
        <w:numPr>
          <w:ilvl w:val="0"/>
          <w:numId w:val="6"/>
        </w:numPr>
      </w:pPr>
      <w:r w:rsidRPr="00C112BA">
        <w:rPr>
          <w:b/>
          <w:bCs/>
        </w:rPr>
        <w:t>Agility and Innovation:</w:t>
      </w:r>
      <w:r w:rsidRPr="00C112BA">
        <w:t> DTS fosters a culture of innovation and can move swiftly to establish the DRH. While waiting for others, valuable time and momentum could be lost.</w:t>
      </w:r>
    </w:p>
    <w:p w14:paraId="5DA51FA0" w14:textId="77777777" w:rsidR="00C112BA" w:rsidRPr="00C112BA" w:rsidRDefault="00C112BA" w:rsidP="00C112BA">
      <w:r w:rsidRPr="00C112BA">
        <w:t>Taking the initiative now allows DTS to:</w:t>
      </w:r>
    </w:p>
    <w:p w14:paraId="22BB2DAB" w14:textId="77777777" w:rsidR="00C112BA" w:rsidRPr="00C112BA" w:rsidRDefault="00C112BA" w:rsidP="00C112BA">
      <w:pPr>
        <w:numPr>
          <w:ilvl w:val="0"/>
          <w:numId w:val="7"/>
        </w:numPr>
      </w:pPr>
      <w:r w:rsidRPr="00C112BA">
        <w:rPr>
          <w:b/>
          <w:bCs/>
        </w:rPr>
        <w:t>Shape the Future:</w:t>
      </w:r>
      <w:r w:rsidRPr="00C112BA">
        <w:t> By leading the DRH, DTS can ensure the platform aligns with the evolving needs of the diabetes research community and fosters groundbreaking discoveries.</w:t>
      </w:r>
    </w:p>
    <w:p w14:paraId="01D3CC38" w14:textId="77777777" w:rsidR="00C112BA" w:rsidRPr="00C112BA" w:rsidRDefault="00C112BA" w:rsidP="00C112BA">
      <w:pPr>
        <w:numPr>
          <w:ilvl w:val="0"/>
          <w:numId w:val="7"/>
        </w:numPr>
      </w:pPr>
      <w:r w:rsidRPr="00C112BA">
        <w:rPr>
          <w:b/>
          <w:bCs/>
        </w:rPr>
        <w:t>Attract Key Partners:</w:t>
      </w:r>
      <w:r w:rsidRPr="00C112BA">
        <w:t> DTS's established network and leadership position it to attract leading research institutions, the NIH, health systems, and industry partners to participate in the DRH.</w:t>
      </w:r>
    </w:p>
    <w:p w14:paraId="354E44AE" w14:textId="77777777" w:rsidR="00C112BA" w:rsidRPr="00C112BA" w:rsidRDefault="00C112BA" w:rsidP="00C112BA">
      <w:pPr>
        <w:numPr>
          <w:ilvl w:val="0"/>
          <w:numId w:val="7"/>
        </w:numPr>
      </w:pPr>
      <w:r w:rsidRPr="00C112BA">
        <w:rPr>
          <w:b/>
          <w:bCs/>
        </w:rPr>
        <w:t>Set the Standards for Data Sharing:</w:t>
      </w:r>
      <w:r w:rsidRPr="00C112BA">
        <w:t> By taking the lead, DTS can establish best practices for secure data collection, analysis, and collaboration within the DRH, benefiting the entire diabetes research community.</w:t>
      </w:r>
    </w:p>
    <w:p w14:paraId="22431433" w14:textId="77777777" w:rsidR="00B634FD" w:rsidRPr="002F6FFA" w:rsidRDefault="00B634FD" w:rsidP="002F6FFA"/>
    <w:sectPr w:rsidR="00B634FD" w:rsidRPr="002F6F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BCA9" w14:textId="77777777" w:rsidR="00AD13CB" w:rsidRDefault="00AD13CB" w:rsidP="004B7251">
      <w:pPr>
        <w:spacing w:after="0" w:line="240" w:lineRule="auto"/>
      </w:pPr>
      <w:r>
        <w:separator/>
      </w:r>
    </w:p>
  </w:endnote>
  <w:endnote w:type="continuationSeparator" w:id="0">
    <w:p w14:paraId="653D24E2" w14:textId="77777777" w:rsidR="00AD13CB" w:rsidRDefault="00AD13CB" w:rsidP="004B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09D5" w14:textId="77777777" w:rsidR="00AD13CB" w:rsidRDefault="00AD13CB" w:rsidP="004B7251">
      <w:pPr>
        <w:spacing w:after="0" w:line="240" w:lineRule="auto"/>
      </w:pPr>
      <w:r>
        <w:separator/>
      </w:r>
    </w:p>
  </w:footnote>
  <w:footnote w:type="continuationSeparator" w:id="0">
    <w:p w14:paraId="1E1E03C6" w14:textId="77777777" w:rsidR="00AD13CB" w:rsidRDefault="00AD13CB" w:rsidP="004B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3D5D4" w14:textId="27376D3B" w:rsidR="004B7251" w:rsidRDefault="004B7251">
    <w:pPr>
      <w:pStyle w:val="Header"/>
    </w:pPr>
    <w:r w:rsidRPr="004B7251">
      <w:rPr>
        <w:b/>
        <w:bCs/>
      </w:rPr>
      <w:t>Diabetes Research Hub (DRH)</w:t>
    </w:r>
    <w:r>
      <w:rPr>
        <w:b/>
        <w:bCs/>
      </w:rPr>
      <w:t xml:space="preserve"> 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CCB"/>
    <w:multiLevelType w:val="multilevel"/>
    <w:tmpl w:val="E41E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126C"/>
    <w:multiLevelType w:val="multilevel"/>
    <w:tmpl w:val="DC7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1EDB"/>
    <w:multiLevelType w:val="multilevel"/>
    <w:tmpl w:val="F0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15C20"/>
    <w:multiLevelType w:val="multilevel"/>
    <w:tmpl w:val="18E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B67CF"/>
    <w:multiLevelType w:val="multilevel"/>
    <w:tmpl w:val="6A68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A2534"/>
    <w:multiLevelType w:val="multilevel"/>
    <w:tmpl w:val="F10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1494E"/>
    <w:multiLevelType w:val="multilevel"/>
    <w:tmpl w:val="FC6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993221">
    <w:abstractNumId w:val="1"/>
  </w:num>
  <w:num w:numId="2" w16cid:durableId="1355960706">
    <w:abstractNumId w:val="2"/>
  </w:num>
  <w:num w:numId="3" w16cid:durableId="684403916">
    <w:abstractNumId w:val="0"/>
  </w:num>
  <w:num w:numId="4" w16cid:durableId="1632519511">
    <w:abstractNumId w:val="4"/>
  </w:num>
  <w:num w:numId="5" w16cid:durableId="1969503776">
    <w:abstractNumId w:val="5"/>
  </w:num>
  <w:num w:numId="6" w16cid:durableId="833882328">
    <w:abstractNumId w:val="3"/>
  </w:num>
  <w:num w:numId="7" w16cid:durableId="989358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1C"/>
    <w:rsid w:val="001B473F"/>
    <w:rsid w:val="002F6FFA"/>
    <w:rsid w:val="004B7251"/>
    <w:rsid w:val="006A521C"/>
    <w:rsid w:val="00AD13CB"/>
    <w:rsid w:val="00B50F6A"/>
    <w:rsid w:val="00B634FD"/>
    <w:rsid w:val="00C1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A03C"/>
  <w15:chartTrackingRefBased/>
  <w15:docId w15:val="{000D0253-D50C-4E1E-9DBE-D5741AC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21C"/>
    <w:rPr>
      <w:rFonts w:eastAsiaTheme="majorEastAsia" w:cstheme="majorBidi"/>
      <w:color w:val="272727" w:themeColor="text1" w:themeTint="D8"/>
    </w:rPr>
  </w:style>
  <w:style w:type="paragraph" w:styleId="Title">
    <w:name w:val="Title"/>
    <w:basedOn w:val="Normal"/>
    <w:next w:val="Normal"/>
    <w:link w:val="TitleChar"/>
    <w:uiPriority w:val="10"/>
    <w:qFormat/>
    <w:rsid w:val="006A5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21C"/>
    <w:pPr>
      <w:spacing w:before="160"/>
      <w:jc w:val="center"/>
    </w:pPr>
    <w:rPr>
      <w:i/>
      <w:iCs/>
      <w:color w:val="404040" w:themeColor="text1" w:themeTint="BF"/>
    </w:rPr>
  </w:style>
  <w:style w:type="character" w:customStyle="1" w:styleId="QuoteChar">
    <w:name w:val="Quote Char"/>
    <w:basedOn w:val="DefaultParagraphFont"/>
    <w:link w:val="Quote"/>
    <w:uiPriority w:val="29"/>
    <w:rsid w:val="006A521C"/>
    <w:rPr>
      <w:i/>
      <w:iCs/>
      <w:color w:val="404040" w:themeColor="text1" w:themeTint="BF"/>
    </w:rPr>
  </w:style>
  <w:style w:type="paragraph" w:styleId="ListParagraph">
    <w:name w:val="List Paragraph"/>
    <w:basedOn w:val="Normal"/>
    <w:uiPriority w:val="34"/>
    <w:qFormat/>
    <w:rsid w:val="006A521C"/>
    <w:pPr>
      <w:ind w:left="720"/>
      <w:contextualSpacing/>
    </w:pPr>
  </w:style>
  <w:style w:type="character" w:styleId="IntenseEmphasis">
    <w:name w:val="Intense Emphasis"/>
    <w:basedOn w:val="DefaultParagraphFont"/>
    <w:uiPriority w:val="21"/>
    <w:qFormat/>
    <w:rsid w:val="006A521C"/>
    <w:rPr>
      <w:i/>
      <w:iCs/>
      <w:color w:val="0F4761" w:themeColor="accent1" w:themeShade="BF"/>
    </w:rPr>
  </w:style>
  <w:style w:type="paragraph" w:styleId="IntenseQuote">
    <w:name w:val="Intense Quote"/>
    <w:basedOn w:val="Normal"/>
    <w:next w:val="Normal"/>
    <w:link w:val="IntenseQuoteChar"/>
    <w:uiPriority w:val="30"/>
    <w:qFormat/>
    <w:rsid w:val="006A5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21C"/>
    <w:rPr>
      <w:i/>
      <w:iCs/>
      <w:color w:val="0F4761" w:themeColor="accent1" w:themeShade="BF"/>
    </w:rPr>
  </w:style>
  <w:style w:type="character" w:styleId="IntenseReference">
    <w:name w:val="Intense Reference"/>
    <w:basedOn w:val="DefaultParagraphFont"/>
    <w:uiPriority w:val="32"/>
    <w:qFormat/>
    <w:rsid w:val="006A521C"/>
    <w:rPr>
      <w:b/>
      <w:bCs/>
      <w:smallCaps/>
      <w:color w:val="0F4761" w:themeColor="accent1" w:themeShade="BF"/>
      <w:spacing w:val="5"/>
    </w:rPr>
  </w:style>
  <w:style w:type="paragraph" w:styleId="Header">
    <w:name w:val="header"/>
    <w:basedOn w:val="Normal"/>
    <w:link w:val="HeaderChar"/>
    <w:uiPriority w:val="99"/>
    <w:unhideWhenUsed/>
    <w:rsid w:val="004B7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51"/>
  </w:style>
  <w:style w:type="paragraph" w:styleId="Footer">
    <w:name w:val="footer"/>
    <w:basedOn w:val="Normal"/>
    <w:link w:val="FooterChar"/>
    <w:uiPriority w:val="99"/>
    <w:unhideWhenUsed/>
    <w:rsid w:val="004B7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5482">
      <w:bodyDiv w:val="1"/>
      <w:marLeft w:val="0"/>
      <w:marRight w:val="0"/>
      <w:marTop w:val="0"/>
      <w:marBottom w:val="0"/>
      <w:divBdr>
        <w:top w:val="none" w:sz="0" w:space="0" w:color="auto"/>
        <w:left w:val="none" w:sz="0" w:space="0" w:color="auto"/>
        <w:bottom w:val="none" w:sz="0" w:space="0" w:color="auto"/>
        <w:right w:val="none" w:sz="0" w:space="0" w:color="auto"/>
      </w:divBdr>
    </w:div>
    <w:div w:id="608003153">
      <w:bodyDiv w:val="1"/>
      <w:marLeft w:val="0"/>
      <w:marRight w:val="0"/>
      <w:marTop w:val="0"/>
      <w:marBottom w:val="0"/>
      <w:divBdr>
        <w:top w:val="none" w:sz="0" w:space="0" w:color="auto"/>
        <w:left w:val="none" w:sz="0" w:space="0" w:color="auto"/>
        <w:bottom w:val="none" w:sz="0" w:space="0" w:color="auto"/>
        <w:right w:val="none" w:sz="0" w:space="0" w:color="auto"/>
      </w:divBdr>
    </w:div>
    <w:div w:id="8510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Shah</dc:creator>
  <cp:keywords/>
  <dc:description/>
  <cp:lastModifiedBy>David Klonoff</cp:lastModifiedBy>
  <cp:revision>2</cp:revision>
  <dcterms:created xsi:type="dcterms:W3CDTF">2024-03-17T20:44:00Z</dcterms:created>
  <dcterms:modified xsi:type="dcterms:W3CDTF">2024-03-17T20:44:00Z</dcterms:modified>
</cp:coreProperties>
</file>