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40" w:beforeAutospacing="0" w:afterAutospacing="0"/>
        <w:jc w:val="center"/>
      </w:pPr>
      <w:r>
        <w:rPr>
          <w:rFonts w:ascii="Calibri" w:hAnsi="Calibri"/>
          <w:b w:val="1"/>
          <w:color w:val="A06E1E"/>
          <w:sz w:val="17"/>
        </w:rPr>
        <w:t>WIKIPÉDIA • A ENCICLOPÉDIA LIVRE • PROPOSTA DE ARTIGO PRINCIPAL</w:t>
      </w:r>
    </w:p>
    <w:p>
      <w:pPr>
        <w:spacing w:after="80" w:beforeAutospacing="0" w:afterAutospacing="0"/>
        <w:jc w:val="center"/>
      </w:pPr>
      <w:r>
        <w:rPr>
          <w:rFonts w:ascii="Georgia" w:hAnsi="Georgia"/>
          <w:b w:val="1"/>
          <w:color w:val="1A202C"/>
          <w:sz w:val="56"/>
        </w:rPr>
        <w:t>Unoteísmo</w:t>
      </w:r>
    </w:p>
    <w:p>
      <w:pPr>
        <w:spacing w:after="320" w:beforeAutospacing="0" w:afterAutospacing="0"/>
        <w:jc w:val="center"/>
      </w:pPr>
      <w:r>
        <w:rPr>
          <w:rFonts w:ascii="Calibri" w:hAnsi="Calibri"/>
          <w:i w:val="1"/>
          <w:color w:val="5A6473"/>
          <w:sz w:val="24"/>
        </w:rPr>
        <w:t>Filosofia de Vida, Monoteísmo Bíblico e Defesa da Verdade</w:t>
      </w:r>
    </w:p>
    <w:p>
      <w:pPr>
        <w:spacing w:after="320" w:beforeAutospacing="0" w:afterAutospacing="0"/>
        <w:jc w:val="center"/>
      </w:pPr>
      <w:r>
        <w:rPr>
          <w:color w:val="D2B478"/>
        </w:rPr>
        <w:t>————————————————————————————————————————————————</w:t>
      </w:r>
    </w:p>
    <w:p>
      <w:pPr>
        <w:spacing w:after="80" w:beforeAutospacing="0" w:afterAutospacing="0"/>
      </w:pPr>
      <w:r>
        <w:rPr>
          <w:rFonts w:ascii="Calibri" w:hAnsi="Calibri"/>
          <w:b w:val="1"/>
          <w:color w:val="A06E1E"/>
          <w:sz w:val="22"/>
        </w:rPr>
        <w:t>Ficha Técnica Enciclopédica (Infobox / Resumo)</w:t>
      </w:r>
    </w:p>
    <w:tbl>
      <w:tblPr>
        <w:tblW w:w="0" w:type="auto"/>
        <w:jc w:val="center"/>
        <w:tblBorders>
          <w:top w:val="single" w:sz="4" w:space="0" w:shadow="0" w:frame="0" w:color="CBD5E1"/>
          <w:left w:val="single" w:sz="4" w:space="0" w:shadow="0" w:frame="0" w:color="CBD5E1"/>
          <w:bottom w:val="single" w:sz="4" w:space="0" w:shadow="0" w:frame="0" w:color="CBD5E1"/>
          <w:right w:val="single" w:sz="4" w:space="0" w:shadow="0" w:frame="0" w:color="CBD5E1"/>
          <w:insideH w:val="single" w:sz="4" w:space="0" w:shadow="0" w:frame="0" w:color="CBD5E1"/>
          <w:insideV w:val="single" w:sz="4" w:space="0" w:shadow="0" w:frame="0" w:color="CBD5E1"/>
        </w:tblBorders>
        <w:tblLook w:val="04A0"/>
      </w:tblPr>
      <w:tblGrid>
        <w:gridCol w:w="3168"/>
        <w:gridCol w:w="6293"/>
      </w:tblGrid>
      <w:tr>
        <w:tc>
          <w:tcPr>
            <w:tcW w:w="3168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lineRule="auto" w:line="276" w:after="0" w:beforeAutospacing="0" w:afterAutospacing="0"/>
            </w:pPr>
            <w:r>
              <w:rPr>
                <w:rFonts w:ascii="Calibri" w:hAnsi="Calibri"/>
                <w:b w:val="1"/>
                <w:color w:val="1A202C"/>
                <w:sz w:val="19"/>
              </w:rPr>
              <w:t>Termo</w:t>
            </w:r>
          </w:p>
        </w:tc>
        <w:tc>
          <w:tcPr>
            <w:tcW w:w="629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lineRule="auto" w:line="276" w:after="0" w:beforeAutospacing="0" w:afterAutospacing="0"/>
            </w:pPr>
            <w:r>
              <w:rPr>
                <w:rFonts w:ascii="Calibri" w:hAnsi="Calibri"/>
                <w:color w:val="282C34"/>
                <w:sz w:val="19"/>
              </w:rPr>
              <w:t>Unoteísmo</w:t>
            </w:r>
          </w:p>
        </w:tc>
      </w:tr>
      <w:tr>
        <w:tc>
          <w:tcPr>
            <w:tcW w:w="3168" w:type="dxa"/>
            <w:shd w:val="clear" w:color="auto" w:fill="E2E8F0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lineRule="auto" w:line="276" w:after="0" w:beforeAutospacing="0" w:afterAutospacing="0"/>
            </w:pPr>
            <w:r>
              <w:rPr>
                <w:rFonts w:ascii="Calibri" w:hAnsi="Calibri"/>
                <w:b w:val="1"/>
                <w:color w:val="1A202C"/>
                <w:sz w:val="19"/>
              </w:rPr>
              <w:t>Classificação</w:t>
            </w:r>
          </w:p>
        </w:tc>
        <w:tc>
          <w:tcPr>
            <w:tcW w:w="6293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lineRule="auto" w:line="276" w:after="0" w:beforeAutospacing="0" w:afterAutospacing="0"/>
            </w:pPr>
            <w:r>
              <w:rPr>
                <w:rFonts w:ascii="Calibri" w:hAnsi="Calibri"/>
                <w:color w:val="282C34"/>
                <w:sz w:val="19"/>
              </w:rPr>
              <w:t>Filosofia Teológica / Monoteísmo Estrito / Movimento Bíblico Racional</w:t>
            </w:r>
          </w:p>
        </w:tc>
      </w:tr>
      <w:tr>
        <w:tc>
          <w:tcPr>
            <w:tcW w:w="3168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lineRule="auto" w:line="276" w:after="0" w:beforeAutospacing="0" w:afterAutospacing="0"/>
            </w:pPr>
            <w:r>
              <w:rPr>
                <w:rFonts w:ascii="Calibri" w:hAnsi="Calibri"/>
                <w:b w:val="1"/>
                <w:color w:val="1A202C"/>
                <w:sz w:val="19"/>
              </w:rPr>
              <w:t>Natureza de Deus</w:t>
            </w:r>
          </w:p>
        </w:tc>
        <w:tc>
          <w:tcPr>
            <w:tcW w:w="629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lineRule="auto" w:line="276" w:after="0" w:beforeAutospacing="0" w:afterAutospacing="0"/>
            </w:pPr>
            <w:r>
              <w:rPr>
                <w:rFonts w:ascii="Calibri" w:hAnsi="Calibri"/>
                <w:color w:val="282C34"/>
                <w:sz w:val="19"/>
              </w:rPr>
              <w:t>Um só Deus, o Pai: absoluto, invisível, eterno e puramente Espírito</w:t>
            </w:r>
          </w:p>
        </w:tc>
      </w:tr>
      <w:tr>
        <w:tc>
          <w:tcPr>
            <w:tcW w:w="3168" w:type="dxa"/>
            <w:shd w:val="clear" w:color="auto" w:fill="E2E8F0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lineRule="auto" w:line="276" w:after="0" w:beforeAutospacing="0" w:afterAutospacing="0"/>
            </w:pPr>
            <w:r>
              <w:rPr>
                <w:rFonts w:ascii="Calibri" w:hAnsi="Calibri"/>
                <w:b w:val="1"/>
                <w:color w:val="1A202C"/>
                <w:sz w:val="19"/>
              </w:rPr>
              <w:t>Cristologia</w:t>
            </w:r>
          </w:p>
        </w:tc>
        <w:tc>
          <w:tcPr>
            <w:tcW w:w="6293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lineRule="auto" w:line="276" w:after="0" w:beforeAutospacing="0" w:afterAutospacing="0"/>
            </w:pPr>
            <w:r>
              <w:rPr>
                <w:rFonts w:ascii="Calibri" w:hAnsi="Calibri"/>
                <w:color w:val="282C34"/>
                <w:sz w:val="19"/>
              </w:rPr>
              <w:t>Jesus Cristo: o verdadeiro homem em quem o próprio Espírito de Deus encarnou</w:t>
            </w:r>
          </w:p>
        </w:tc>
      </w:tr>
      <w:tr>
        <w:tc>
          <w:tcPr>
            <w:tcW w:w="3168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lineRule="auto" w:line="276" w:after="0" w:beforeAutospacing="0" w:afterAutospacing="0"/>
            </w:pPr>
            <w:r>
              <w:rPr>
                <w:rFonts w:ascii="Calibri" w:hAnsi="Calibri"/>
                <w:b w:val="1"/>
                <w:color w:val="1A202C"/>
                <w:sz w:val="19"/>
              </w:rPr>
              <w:t>Pneumatologia</w:t>
            </w:r>
          </w:p>
        </w:tc>
        <w:tc>
          <w:tcPr>
            <w:tcW w:w="629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lineRule="auto" w:line="276" w:after="0" w:beforeAutospacing="0" w:afterAutospacing="0"/>
            </w:pPr>
            <w:r>
              <w:rPr>
                <w:rFonts w:ascii="Calibri" w:hAnsi="Calibri"/>
                <w:color w:val="282C34"/>
                <w:sz w:val="19"/>
              </w:rPr>
              <w:t>O Espírito Santo: o Espírito de Deus Pai emanado do céu, identificado como Espírito de Cristo</w:t>
            </w:r>
          </w:p>
        </w:tc>
      </w:tr>
      <w:tr>
        <w:tc>
          <w:tcPr>
            <w:tcW w:w="3168" w:type="dxa"/>
            <w:shd w:val="clear" w:color="auto" w:fill="E2E8F0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lineRule="auto" w:line="276" w:after="0" w:beforeAutospacing="0" w:afterAutospacing="0"/>
            </w:pPr>
            <w:r>
              <w:rPr>
                <w:rFonts w:ascii="Calibri" w:hAnsi="Calibri"/>
                <w:b w:val="1"/>
                <w:color w:val="1A202C"/>
                <w:sz w:val="19"/>
              </w:rPr>
              <w:t>Proclamação Central</w:t>
            </w:r>
          </w:p>
        </w:tc>
        <w:tc>
          <w:tcPr>
            <w:tcW w:w="6293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lineRule="auto" w:line="276" w:after="0" w:beforeAutospacing="0" w:afterAutospacing="0"/>
            </w:pPr>
            <w:r>
              <w:rPr>
                <w:rFonts w:ascii="Calibri" w:hAnsi="Calibri"/>
                <w:color w:val="282C34"/>
                <w:sz w:val="19"/>
              </w:rPr>
              <w:t>Jesus é o Pai quanto ao Espírito e o homem quanto à carne</w:t>
            </w:r>
          </w:p>
        </w:tc>
      </w:tr>
      <w:tr>
        <w:tc>
          <w:tcPr>
            <w:tcW w:w="3168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lineRule="auto" w:line="276" w:after="0" w:beforeAutospacing="0" w:afterAutospacing="0"/>
            </w:pPr>
            <w:r>
              <w:rPr>
                <w:rFonts w:ascii="Calibri" w:hAnsi="Calibri"/>
                <w:b w:val="1"/>
                <w:color w:val="1A202C"/>
                <w:sz w:val="19"/>
              </w:rPr>
              <w:t>Escritura Sagrada</w:t>
            </w:r>
          </w:p>
        </w:tc>
        <w:tc>
          <w:tcPr>
            <w:tcW w:w="629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lineRule="auto" w:line="276" w:after="0" w:beforeAutospacing="0" w:afterAutospacing="0"/>
            </w:pPr>
            <w:r>
              <w:rPr>
                <w:rFonts w:ascii="Calibri" w:hAnsi="Calibri"/>
                <w:color w:val="282C34"/>
                <w:sz w:val="19"/>
              </w:rPr>
              <w:t>Bíblia Sagrada no Cânon Unoteísta de 69 Livros (42 AT + 27 NT)</w:t>
            </w:r>
          </w:p>
        </w:tc>
      </w:tr>
      <w:tr>
        <w:tc>
          <w:tcPr>
            <w:tcW w:w="3168" w:type="dxa"/>
            <w:shd w:val="clear" w:color="auto" w:fill="E2E8F0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lineRule="auto" w:line="276" w:after="0" w:beforeAutospacing="0" w:afterAutospacing="0"/>
            </w:pPr>
            <w:r>
              <w:rPr>
                <w:rFonts w:ascii="Calibri" w:hAnsi="Calibri"/>
                <w:b w:val="1"/>
                <w:color w:val="1A202C"/>
                <w:sz w:val="19"/>
              </w:rPr>
              <w:t>Pilares Filosóficos</w:t>
            </w:r>
          </w:p>
        </w:tc>
        <w:tc>
          <w:tcPr>
            <w:tcW w:w="6293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lineRule="auto" w:line="276" w:after="0" w:beforeAutospacing="0" w:afterAutospacing="0"/>
            </w:pPr>
            <w:r>
              <w:rPr>
                <w:rFonts w:ascii="Calibri" w:hAnsi="Calibri"/>
                <w:color w:val="282C34"/>
                <w:sz w:val="19"/>
              </w:rPr>
              <w:t>Busca e defesa da verdade; Ausência de viés religioso; Respostas claras; Ética viva</w:t>
            </w:r>
          </w:p>
        </w:tc>
      </w:tr>
      <w:tr>
        <w:tc>
          <w:tcPr>
            <w:tcW w:w="3168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lineRule="auto" w:line="276" w:after="0" w:beforeAutospacing="0" w:afterAutospacing="0"/>
            </w:pPr>
            <w:r>
              <w:rPr>
                <w:rFonts w:ascii="Calibri" w:hAnsi="Calibri"/>
                <w:b w:val="1"/>
                <w:color w:val="1A202C"/>
                <w:sz w:val="19"/>
              </w:rPr>
              <w:t>Idiomas das Fontes</w:t>
            </w:r>
          </w:p>
        </w:tc>
        <w:tc>
          <w:tcPr>
            <w:tcW w:w="629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lineRule="auto" w:line="276" w:after="0" w:beforeAutospacing="0" w:afterAutospacing="0"/>
            </w:pPr>
            <w:r>
              <w:rPr>
                <w:rFonts w:ascii="Calibri" w:hAnsi="Calibri"/>
                <w:color w:val="282C34"/>
                <w:sz w:val="19"/>
              </w:rPr>
              <w:t>Hebraico bíblico, Aramaico e Grego Koiné</w:t>
            </w:r>
          </w:p>
        </w:tc>
      </w:tr>
      <w:tr>
        <w:tc>
          <w:tcPr>
            <w:tcW w:w="3168" w:type="dxa"/>
            <w:shd w:val="clear" w:color="auto" w:fill="E2E8F0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lineRule="auto" w:line="276" w:after="0" w:beforeAutospacing="0" w:afterAutospacing="0"/>
            </w:pPr>
            <w:r>
              <w:rPr>
                <w:rFonts w:ascii="Calibri" w:hAnsi="Calibri"/>
                <w:b w:val="1"/>
                <w:color w:val="1A202C"/>
                <w:sz w:val="19"/>
              </w:rPr>
              <w:t>Aparato Textual</w:t>
            </w:r>
          </w:p>
        </w:tc>
        <w:tc>
          <w:tcPr>
            <w:tcW w:w="6293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lineRule="auto" w:line="276" w:after="0" w:beforeAutospacing="0" w:afterAutospacing="0"/>
            </w:pPr>
            <w:r>
              <w:rPr>
                <w:rFonts w:ascii="Calibri" w:hAnsi="Calibri"/>
                <w:color w:val="282C34"/>
                <w:sz w:val="19"/>
              </w:rPr>
              <w:t>Textus Receptus, Septuaginta (LXX com Daniel 14) e Manuscritos Críticos</w:t>
            </w:r>
          </w:p>
        </w:tc>
      </w:tr>
      <w:tr>
        <w:tc>
          <w:tcPr>
            <w:tcW w:w="3168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lineRule="auto" w:line="276" w:after="0" w:beforeAutospacing="0" w:afterAutospacing="0"/>
            </w:pPr>
            <w:r>
              <w:rPr>
                <w:rFonts w:ascii="Calibri" w:hAnsi="Calibri"/>
                <w:b w:val="1"/>
                <w:color w:val="1A202C"/>
                <w:sz w:val="19"/>
              </w:rPr>
              <w:t>Léxico Bíblico</w:t>
            </w:r>
          </w:p>
        </w:tc>
        <w:tc>
          <w:tcPr>
            <w:tcW w:w="629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lineRule="auto" w:line="276" w:after="0" w:beforeAutospacing="0" w:afterAutospacing="0"/>
            </w:pPr>
            <w:r>
              <w:rPr>
                <w:rFonts w:ascii="Calibri" w:hAnsi="Calibri"/>
                <w:color w:val="282C34"/>
                <w:sz w:val="19"/>
              </w:rPr>
              <w:t>Dicionário Grego Completo de 61.047 formas morfológicas catalogadas</w:t>
            </w:r>
          </w:p>
        </w:tc>
      </w:tr>
      <w:tr>
        <w:tc>
          <w:tcPr>
            <w:tcW w:w="3168" w:type="dxa"/>
            <w:shd w:val="clear" w:color="auto" w:fill="E2E8F0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lineRule="auto" w:line="276" w:after="0" w:beforeAutospacing="0" w:afterAutospacing="0"/>
            </w:pPr>
            <w:r>
              <w:rPr>
                <w:rFonts w:ascii="Calibri" w:hAnsi="Calibri"/>
                <w:b w:val="1"/>
                <w:color w:val="1A202C"/>
                <w:sz w:val="19"/>
              </w:rPr>
              <w:t>Recusa Denominacional</w:t>
            </w:r>
          </w:p>
        </w:tc>
        <w:tc>
          <w:tcPr>
            <w:tcW w:w="6293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lineRule="auto" w:line="276" w:after="0" w:beforeAutospacing="0" w:afterAutospacing="0"/>
            </w:pPr>
            <w:r>
              <w:rPr>
                <w:rFonts w:ascii="Calibri" w:hAnsi="Calibri"/>
                <w:color w:val="282C34"/>
                <w:sz w:val="19"/>
              </w:rPr>
              <w:t>Rejeição de corporativismo clerical, dízimos compulsórios e dogmatismos eclesiásticos</w:t>
            </w:r>
          </w:p>
        </w:tc>
      </w:tr>
      <w:tr>
        <w:tc>
          <w:tcPr>
            <w:tcW w:w="3168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lineRule="auto" w:line="276" w:after="0" w:beforeAutospacing="0" w:afterAutospacing="0"/>
            </w:pPr>
            <w:r>
              <w:rPr>
                <w:rFonts w:ascii="Calibri" w:hAnsi="Calibri"/>
                <w:b w:val="1"/>
                <w:color w:val="1A202C"/>
                <w:sz w:val="19"/>
              </w:rPr>
              <w:t>Lema</w:t>
            </w:r>
          </w:p>
        </w:tc>
        <w:tc>
          <w:tcPr>
            <w:tcW w:w="629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lineRule="auto" w:line="276" w:after="0" w:beforeAutospacing="0" w:afterAutospacing="0"/>
            </w:pPr>
            <w:r>
              <w:rPr>
                <w:rFonts w:ascii="Calibri" w:hAnsi="Calibri"/>
                <w:color w:val="282C34"/>
                <w:sz w:val="19"/>
              </w:rPr>
              <w:t>«Respostas claras sobre a Bíblia, sobre a fé e sobre a vida»</w:t>
            </w:r>
          </w:p>
        </w:tc>
      </w:tr>
      <w:tr>
        <w:tc>
          <w:tcPr>
            <w:tcW w:w="3168" w:type="dxa"/>
            <w:shd w:val="clear" w:color="auto" w:fill="E2E8F0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lineRule="auto" w:line="276" w:after="0" w:beforeAutospacing="0" w:afterAutospacing="0"/>
            </w:pPr>
            <w:r>
              <w:rPr>
                <w:rFonts w:ascii="Calibri" w:hAnsi="Calibri"/>
                <w:b w:val="1"/>
                <w:color w:val="1A202C"/>
                <w:sz w:val="19"/>
              </w:rPr>
              <w:t>Portal de Pesquisa</w:t>
            </w:r>
          </w:p>
        </w:tc>
        <w:tc>
          <w:tcPr>
            <w:tcW w:w="6293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lineRule="auto" w:line="276" w:after="0" w:beforeAutospacing="0" w:afterAutospacing="0"/>
            </w:pPr>
            <w:r>
              <w:rPr>
                <w:rFonts w:ascii="Calibri" w:hAnsi="Calibri"/>
                <w:color w:val="282C34"/>
                <w:sz w:val="19"/>
              </w:rPr>
              <w:t>unoteismo.arthurlazarodesousasantos.workers.dev</w:t>
            </w:r>
          </w:p>
        </w:tc>
      </w:tr>
    </w:tbl>
    <w:p>
      <w:pPr>
        <w:spacing w:after="280" w:beforeAutospacing="0" w:afterAutospacing="0"/>
      </w:pPr>
    </w:p>
    <w:p>
      <w:pPr>
        <w:spacing w:before="320" w:after="120" w:beforeAutospacing="0" w:afterAutospacing="0"/>
      </w:pPr>
      <w:r>
        <w:rPr>
          <w:rFonts w:ascii="Georgia" w:hAnsi="Georgia"/>
          <w:b w:val="1"/>
          <w:color w:val="1A202C"/>
          <w:sz w:val="32"/>
        </w:rPr>
        <w:t>1. Introdução e Visão Geral</w:t>
      </w:r>
    </w:p>
    <w:p>
      <w:pPr>
        <w:spacing w:lineRule="auto" w:line="288" w:after="160" w:beforeAutospacing="0" w:afterAutospacing="0"/>
        <w:jc w:val="both"/>
      </w:pPr>
      <w:r>
        <w:t xml:space="preserve">O </w:t>
      </w:r>
      <w:r>
        <w:rPr>
          <w:b w:val="1"/>
        </w:rPr>
        <w:t>Unoteísmo</w:t>
      </w:r>
      <w:r>
        <w:t xml:space="preserve"> é um sistema de pensamento teológico e uma </w:t>
      </w:r>
      <w:r>
        <w:rPr>
          <w:b w:val="1"/>
        </w:rPr>
        <w:t>filosofia de vida</w:t>
      </w:r>
      <w:r>
        <w:t xml:space="preserve"> fundamentada na </w:t>
      </w:r>
      <w:r>
        <w:rPr>
          <w:b w:val="1"/>
        </w:rPr>
        <w:t>busca e defesa incansável da verdade</w:t>
      </w:r>
      <w:r>
        <w:t xml:space="preserve">, caracterizada por sua independência em relação a corporativismos eclesiásticos, hierarquias clericais e tradições dogmáticas medievais (definindo-se expressamente como </w:t>
      </w:r>
      <w:r>
        <w:rPr>
          <w:i w:val="1"/>
        </w:rPr>
        <w:t>sem viés religioso</w:t>
      </w:r>
      <w:r>
        <w:t>). No âmbito ontológico e teológico, o Unoteísmo sustenta a existência de um único Deus supremo e absoluto — o Pai —, que é puramente Espírito e a fonte de todas as coisas, o qual se encarnou plenamente no homem histórico Jesus Cristo desde a sua concepção milagrosa no ventre de Maria.</w:t>
      </w:r>
    </w:p>
    <w:p>
      <w:pPr>
        <w:spacing w:lineRule="auto" w:line="288" w:after="160" w:beforeAutospacing="0" w:afterAutospacing="0"/>
        <w:jc w:val="both"/>
      </w:pPr>
      <w:r>
        <w:t xml:space="preserve">Ao contrário de modelos confessionais tradicionais que demandam a aceitação de fórmulas dogmáticas paradoxais ou inacessíveis à razão, o Unoteísmo propõe a entrega de </w:t>
      </w:r>
      <w:r>
        <w:rPr>
          <w:b w:val="1"/>
        </w:rPr>
        <w:t>respostas claras, diretas e biblicamente fundamentadas</w:t>
      </w:r>
      <w:r>
        <w:t xml:space="preserve"> sobre a Bíblia, sobre a fé e sobre a existência humana. Sua formulação cristológica estabelece uma distinção rigorosa entre a carne e o Espírito: Jesus Cristo é simultaneamente o </w:t>
      </w:r>
      <w:r>
        <w:rPr>
          <w:b w:val="1"/>
        </w:rPr>
        <w:t>Filho do Homem</w:t>
      </w:r>
      <w:r>
        <w:t xml:space="preserve"> (quanto à sua humanidade autêntica, nascido de mulher e participante da carne) e o </w:t>
      </w:r>
      <w:r>
        <w:rPr>
          <w:b w:val="1"/>
        </w:rPr>
        <w:t>Filho de Deus</w:t>
      </w:r>
      <w:r>
        <w:t xml:space="preserve"> (porque seu Espírito é o próprio Espírito de Deus Pai, emanado do céu e reconhecido na figura humana).</w:t>
      </w:r>
    </w:p>
    <w:p>
      <w:pPr>
        <w:spacing w:lineRule="auto" w:line="288" w:after="240" w:beforeAutospacing="0" w:afterAutospacing="0"/>
        <w:jc w:val="both"/>
      </w:pPr>
      <w:r>
        <w:t xml:space="preserve">A síntese basilar da cristologia unoteísta é expressa na máxima: </w:t>
      </w:r>
      <w:r>
        <w:rPr>
          <w:b w:val="1"/>
          <w:color w:val="A06E1E"/>
        </w:rPr>
        <w:t>«Jesus é o Pai quanto ao Espírito e é o homem quanto à carne»</w:t>
      </w:r>
      <w:r>
        <w:t xml:space="preserve">. O movimento adota como padrão canônico uma Bíblia Sagrada constituída por </w:t>
      </w:r>
      <w:r>
        <w:rPr>
          <w:b w:val="1"/>
        </w:rPr>
        <w:t>69 livros</w:t>
      </w:r>
      <w:r>
        <w:t xml:space="preserve"> (42 no Antigo Testamento e 27 no Novo Testamento), combinando o rigor filológico dos manuscritos em hebraico, aramaico e grego koiné com uma hermenêutica crítica que descarta interpolações tardias e dogmatismos sectários.</w:t>
      </w:r>
    </w:p>
    <w:p>
      <w:pPr>
        <w:spacing w:before="320" w:after="120" w:beforeAutospacing="0" w:afterAutospacing="0"/>
      </w:pPr>
      <w:r>
        <w:rPr>
          <w:rFonts w:ascii="Georgia" w:hAnsi="Georgia"/>
          <w:b w:val="1"/>
          <w:color w:val="1A202C"/>
          <w:sz w:val="28"/>
        </w:rPr>
        <w:t>2. Etimologia e Distinções Conceituais</w:t>
      </w:r>
    </w:p>
    <w:p>
      <w:pPr>
        <w:spacing w:lineRule="auto" w:line="288" w:after="160" w:beforeAutospacing="0" w:afterAutospacing="0"/>
        <w:jc w:val="both"/>
      </w:pPr>
      <w:r>
        <w:t xml:space="preserve">O vocábulo </w:t>
      </w:r>
      <w:r>
        <w:rPr>
          <w:b w:val="1"/>
        </w:rPr>
        <w:t>Unoteísmo</w:t>
      </w:r>
      <w:r>
        <w:t xml:space="preserve"> é um neologismo erudito estruturado pela aglutinação de três elementos linguísticos clássicos:</w:t>
      </w:r>
    </w:p>
    <w:p>
      <w:pPr>
        <w:pStyle w:val="P22"/>
        <w:spacing w:lineRule="auto" w:line="276" w:after="80" w:beforeAutospacing="0" w:afterAutospacing="0"/>
      </w:pPr>
      <w:r>
        <w:rPr>
          <w:b w:val="1"/>
        </w:rPr>
        <w:t>O prefixo latino «un</w:t>
      </w:r>
      <w:r>
        <w:rPr>
          <w:b w:val="1"/>
          <w:rtl w:val="0"/>
          <w:lang w:val="pt-BR" w:bidi="pt-BR" w:eastAsia="pt-BR"/>
        </w:rPr>
        <w:t>o</w:t>
      </w:r>
      <w:r>
        <w:rPr>
          <w:b w:val="1"/>
        </w:rPr>
        <w:t xml:space="preserve">-»: </w:t>
      </w:r>
      <w:r>
        <w:t>derivado de unus (um, singular, indivisível, único), denotando a unidade absoluta, indivisa e insubstituível da essência divina.</w:t>
      </w:r>
    </w:p>
    <w:p>
      <w:pPr>
        <w:pStyle w:val="P22"/>
        <w:spacing w:lineRule="auto" w:line="276" w:after="80" w:beforeAutospacing="0" w:afterAutospacing="0"/>
      </w:pPr>
      <w:r>
        <w:rPr>
          <w:b w:val="1"/>
        </w:rPr>
        <w:t xml:space="preserve">O radical grego «theos» (θεός): </w:t>
      </w:r>
      <w:r>
        <w:t>que designa a divindade suprema, o Deus Criador transcendente e fonte primária de toda a realidade cósmica.</w:t>
      </w:r>
    </w:p>
    <w:p>
      <w:pPr>
        <w:pStyle w:val="P22"/>
        <w:spacing w:lineRule="auto" w:line="276" w:after="80" w:beforeAutospacing="0" w:afterAutospacing="0"/>
      </w:pPr>
      <w:r>
        <w:rPr>
          <w:b w:val="1"/>
        </w:rPr>
        <w:t xml:space="preserve">O sufixo «-ismo» (do grego -ισμός): </w:t>
      </w:r>
      <w:r>
        <w:t>utilizado para caracterizar uma corrente filosófica, sistema de pensamento doutrinário e modo sistemático de vida.</w:t>
      </w:r>
    </w:p>
    <w:p>
      <w:pPr>
        <w:spacing w:lineRule="auto" w:line="288" w:after="240" w:beforeAutospacing="0" w:afterAutospacing="0"/>
        <w:jc w:val="both"/>
      </w:pPr>
      <w:r>
        <w:t xml:space="preserve">Numa leitura complementar, o próprio vocábulo pode ser decomposto nas unidades </w:t>
      </w:r>
      <w:r>
        <w:rPr>
          <w:b w:val="1"/>
        </w:rPr>
        <w:t>UN</w:t>
      </w:r>
      <w:r>
        <w:t xml:space="preserve"> (de «único»), </w:t>
      </w:r>
      <w:r>
        <w:rPr>
          <w:b w:val="1"/>
        </w:rPr>
        <w:t>O</w:t>
      </w:r>
      <w:r>
        <w:t xml:space="preserve"> (de «Ontologia»), </w:t>
      </w:r>
      <w:r>
        <w:rPr>
          <w:b w:val="1"/>
        </w:rPr>
        <w:t>TE</w:t>
      </w:r>
      <w:r>
        <w:t xml:space="preserve"> (de «Theos», Deus) e </w:t>
      </w:r>
      <w:r>
        <w:rPr>
          <w:b w:val="1"/>
        </w:rPr>
        <w:t>ISMO</w:t>
      </w:r>
      <w:r>
        <w:t xml:space="preserve"> (de «crença» ou doutrina), que, lidas em ordem inversa, sintetizam a proposição nuclear do sistema: </w:t>
      </w:r>
      <w:r>
        <w:rPr>
          <w:i w:val="1"/>
        </w:rPr>
        <w:t>«crença no Deus ontologicamente único»</w:t>
      </w:r>
      <w:r>
        <w:t xml:space="preserve"> — isto é, a crença de que Deus subsiste em uma só e única pessoa divina.</w:t>
      </w:r>
    </w:p>
    <w:p>
      <w:pPr>
        <w:spacing w:lineRule="auto" w:line="288" w:after="240" w:beforeAutospacing="0" w:afterAutospacing="0"/>
        <w:jc w:val="both"/>
      </w:pPr>
      <w:r>
        <w:t xml:space="preserve">Embora compartilhe raízes semânticas com termos como </w:t>
      </w:r>
      <w:r>
        <w:rPr>
          <w:i w:val="1"/>
        </w:rPr>
        <w:t>monoteísmo</w:t>
      </w:r>
      <w:r>
        <w:t xml:space="preserve"> e </w:t>
      </w:r>
      <w:r>
        <w:rPr>
          <w:i w:val="1"/>
        </w:rPr>
        <w:t>unicismo</w:t>
      </w:r>
      <w:r>
        <w:t>, o Unoteísmo estabelece distinções categoriais precisas no panorama das ideias religiosas e filosóficas:</w:t>
      </w:r>
    </w:p>
    <w:p>
      <w:pPr>
        <w:pStyle w:val="P22"/>
        <w:spacing w:lineRule="auto" w:line="276" w:after="80" w:beforeAutospacing="0" w:afterAutospacing="0"/>
      </w:pPr>
      <w:r>
        <w:rPr>
          <w:b w:val="1"/>
        </w:rPr>
        <w:t xml:space="preserve">Frente ao Trinitarianismo Clássico: </w:t>
      </w:r>
      <w:r>
        <w:t>Rejeita a tese de que Deus subsiste em «três pessoas distintas e coeternas» (hipóstases). Para o Unoteísmo, Deus Pai é uma única Pessoa e Essência absoluta. O Espírito Santo não é uma terceira pessoa, mas a presença e o poder de Deus em ação. Jesus não é uma «segunda pessoa divina preexistente ao lado do Pai», mas o homem no qual o próprio Pai encarnou.</w:t>
      </w:r>
    </w:p>
    <w:p>
      <w:pPr>
        <w:pStyle w:val="P22"/>
        <w:spacing w:lineRule="auto" w:line="276" w:after="80" w:beforeAutospacing="0" w:afterAutospacing="0"/>
      </w:pPr>
      <w:r>
        <w:rPr>
          <w:b w:val="1"/>
        </w:rPr>
        <w:t xml:space="preserve">Frente ao Modalismo Sabeliano: </w:t>
      </w:r>
      <w:r>
        <w:t>No modalismo histórico de Sabélio (século III), Deus teria se manifestado sucessivamente sob três papéis ou «máscaras» transitórias (como Pai na criação, Filho na redenção e Espírito na igreja), extinguindo um modo ao assumir o outro. No Unoteísmo, Deus Pai permanece eternamente transcendente e onipresente no céu; o que ocorre na encarnação é a emanação de Seu próprio Espírito para residir e constituir a identidade espiritual de Jesus de Nazaré.</w:t>
      </w:r>
    </w:p>
    <w:p>
      <w:pPr>
        <w:pStyle w:val="P22"/>
        <w:spacing w:lineRule="auto" w:line="276" w:after="80" w:beforeAutospacing="0" w:afterAutospacing="0"/>
      </w:pPr>
      <w:r>
        <w:rPr>
          <w:b w:val="1"/>
        </w:rPr>
        <w:t xml:space="preserve">Frente ao Arianismo e Unitarianismo Sociniano: </w:t>
      </w:r>
      <w:r>
        <w:t>Enquanto o arianismo concebe Jesus como a primeira criatura excelsa gerada por Deus e o unitarianismo frequentemente o enxerga como mero profeta moral dotado de uma missão humana, o Unoteísmo assevera que o Espírito que anima, governa e identifica Jesus é o próprio Espírito eterno do Deus Pai. Portanto, ao contemplar as obras e ouvir as palavras de Jesus, contempla-se diretamente a glória do Pai operando em carne humana.</w:t>
      </w:r>
    </w:p>
    <w:p>
      <w:pPr>
        <w:spacing w:before="320" w:after="120" w:beforeAutospacing="0" w:afterAutospacing="0"/>
      </w:pPr>
      <w:r>
        <w:rPr>
          <w:rFonts w:ascii="Georgia" w:hAnsi="Georgia"/>
          <w:b w:val="1"/>
          <w:color w:val="1A202C"/>
          <w:sz w:val="28"/>
        </w:rPr>
        <w:t>3. Pilares da Filosofia de Vida Unoteísta</w:t>
      </w:r>
    </w:p>
    <w:p>
      <w:pPr>
        <w:spacing w:lineRule="auto" w:line="288" w:after="160" w:beforeAutospacing="0" w:afterAutospacing="0"/>
        <w:jc w:val="both"/>
      </w:pPr>
      <w:r>
        <w:t xml:space="preserve">O Unoteísmo se recusa categoricamente a ser classificado como mera seita religiosa ou corporação confessional. Define-se primariamente como uma </w:t>
      </w:r>
      <w:r>
        <w:rPr>
          <w:b w:val="1"/>
        </w:rPr>
        <w:t>filosofia de vida consciente e racional</w:t>
      </w:r>
      <w:r>
        <w:t>, sustentada por quatro pilares estruturantes:</w:t>
      </w:r>
    </w:p>
    <w:p>
      <w:pPr>
        <w:spacing w:before="120" w:after="40" w:beforeAutospacing="0" w:afterAutospacing="0"/>
      </w:pPr>
      <w:r>
        <w:rPr>
          <w:b w:val="1"/>
          <w:color w:val="A06E1E"/>
        </w:rPr>
        <w:t>I. A Busca e Defesa da Verdade como Dever Racional</w:t>
      </w:r>
    </w:p>
    <w:p>
      <w:pPr>
        <w:spacing w:lineRule="auto" w:line="288" w:after="160" w:beforeAutospacing="0" w:afterAutospacing="0"/>
        <w:jc w:val="both"/>
      </w:pPr>
      <w:r>
        <w:t>O princípio supremo do Unoteísmo é de que a verdade não necessita de subterfúgios nem teme perguntas profundas, escrutínio filológico, críticas históricas ou investigações científicas. A honestidade intelectual é tratada como um compromisso ético inegociável: qualquer tradição humana, dogma eclesiástico ou interpretação herdada que não encontre respaldo inequívoco na evidência textual original deve ser corajosamente abandonada.</w:t>
      </w:r>
    </w:p>
    <w:p>
      <w:pPr>
        <w:spacing w:before="120" w:after="40" w:beforeAutospacing="0" w:afterAutospacing="0"/>
      </w:pPr>
      <w:r>
        <w:rPr>
          <w:b w:val="1"/>
          <w:color w:val="A06E1E"/>
        </w:rPr>
        <w:t>II. A Superação de Qualquer Viés Religioso</w:t>
      </w:r>
    </w:p>
    <w:p>
      <w:pPr>
        <w:spacing w:lineRule="auto" w:line="288" w:after="160" w:beforeAutospacing="0" w:afterAutospacing="0"/>
        <w:jc w:val="both"/>
      </w:pPr>
      <w:r>
        <w:t>As religiões institucionalizadas historicamente transformaram a fé em instrumentos de dominação corporativa, mercantilização (cobranças compulsórias, fardos de dízimos ritualísticos) e exclusivismo sectário. O Unoteísmo atua de modo totalmente laico de partidarismos, sem monopólio de sacerdotes intermediários, permitindo que cada indivíduo exerça uma comunhão límpida e direta com o Criador.</w:t>
      </w:r>
    </w:p>
    <w:p>
      <w:pPr>
        <w:spacing w:before="120" w:after="40" w:beforeAutospacing="0" w:afterAutospacing="0"/>
      </w:pPr>
      <w:r>
        <w:rPr>
          <w:b w:val="1"/>
          <w:color w:val="A06E1E"/>
        </w:rPr>
        <w:t>III. Clareza Hermenêutica e Transparência Conceitual</w:t>
      </w:r>
    </w:p>
    <w:p>
      <w:pPr>
        <w:spacing w:lineRule="auto" w:line="288" w:after="160" w:beforeAutospacing="0" w:afterAutospacing="0"/>
        <w:jc w:val="both"/>
      </w:pPr>
      <w:r>
        <w:t>Rejeição categórica da premissa de que a revelação bíblica sobre Deus seja um «mistério paradoxal impenetrável» criado para exigir submissão cega. O Unoteísmo oferece respostas transparentes e de fácil compreensão sobre quem é Deus, quem é Jesus, a razão da existência humana e a autoridade dos textos bíblicos, eliminando contradições lógicas que historicamente afastaram pesquisadores e pensadores honestos da espiritualidade.</w:t>
      </w:r>
    </w:p>
    <w:p>
      <w:pPr>
        <w:spacing w:before="120" w:after="40" w:beforeAutospacing="0" w:afterAutospacing="0"/>
      </w:pPr>
      <w:r>
        <w:rPr>
          <w:b w:val="1"/>
          <w:color w:val="A06E1E"/>
        </w:rPr>
        <w:t>IV. Prática Moral e Existencial no Cotidiano</w:t>
      </w:r>
    </w:p>
    <w:p>
      <w:pPr>
        <w:spacing w:lineRule="auto" w:line="288" w:after="160" w:beforeAutospacing="0" w:afterAutospacing="0"/>
        <w:jc w:val="both"/>
      </w:pPr>
      <w:r>
        <w:t>A fé unoteísta não é mero assentimento intelectual a proposições abstratas, mas uma conduta cotidiana pautada na retidão moral, na solidariedade genuína com o próximo, no discernimento racional, na liberdade de consciência e no aperfeiçoamento constante do caráter e da sabedoria.</w:t>
      </w:r>
    </w:p>
    <w:p>
      <w:pPr>
        <w:spacing w:before="320" w:after="120" w:beforeAutospacing="0" w:afterAutospacing="0"/>
      </w:pPr>
      <w:r>
        <w:rPr>
          <w:rFonts w:ascii="Georgia" w:hAnsi="Georgia"/>
          <w:b w:val="1"/>
          <w:color w:val="1A202C"/>
          <w:sz w:val="28"/>
        </w:rPr>
        <w:t>4. Teologia Sistemática e Cristologia</w:t>
      </w:r>
    </w:p>
    <w:p>
      <w:pPr>
        <w:spacing w:lineRule="auto" w:line="288" w:after="160" w:beforeAutospacing="0" w:afterAutospacing="0"/>
        <w:jc w:val="both"/>
      </w:pPr>
      <w:r>
        <w:t>A formulação teológica unoteísta organiza-se em torno de uma arquitetura estrita e coerente dos conceitos de Deus, Espírito e Encarnação, delineando:</w:t>
      </w:r>
    </w:p>
    <w:p>
      <w:pPr>
        <w:spacing w:before="120" w:after="40" w:beforeAutospacing="0" w:afterAutospacing="0"/>
      </w:pPr>
      <w:r>
        <w:rPr>
          <w:b w:val="1"/>
          <w:color w:val="1A202C"/>
        </w:rPr>
        <w:t>4.1. Deus, o Pai — O Único Soberano Absoluto</w:t>
      </w:r>
    </w:p>
    <w:p>
      <w:pPr>
        <w:spacing w:lineRule="auto" w:line="288" w:after="160" w:beforeAutospacing="0" w:afterAutospacing="0"/>
        <w:jc w:val="both"/>
      </w:pPr>
      <w:r>
        <w:t>Há um só Deus, o Pai, que é puro Espírito (Jo 4:24), incriado, infinito, transcendente e a fonte originária de tudo quanto existe. Deus não divide Sua soberania, honra essencial ou natureza com nenhuma outra entidade. Não existem pessoas coeternas subsistindo paralelamente em Sua divindade. O Pai é a plenitude do Criador.</w:t>
      </w:r>
    </w:p>
    <w:p>
      <w:pPr>
        <w:spacing w:before="120" w:after="40" w:beforeAutospacing="0" w:afterAutospacing="0"/>
      </w:pPr>
      <w:r>
        <w:rPr>
          <w:b w:val="1"/>
          <w:color w:val="1A202C"/>
        </w:rPr>
        <w:t>4.2. O Espírito Santo — O Próprio Espírito de Deus Pai</w:t>
      </w:r>
    </w:p>
    <w:p>
      <w:pPr>
        <w:spacing w:lineRule="auto" w:line="288" w:after="160" w:beforeAutospacing="0" w:afterAutospacing="0"/>
        <w:jc w:val="both"/>
      </w:pPr>
      <w:r>
        <w:t>O Espírito Santo não constitui um indivíduo pessoal independente ou uma terceira hipóstase. Trata-se do próprio sopro vital (Ruach / Pneuma), poder e presença emanada de Deus Pai, que procede dEle e atua dinamicamente na criação e na história. Ao encarnar plenamente em Jesus de Nazaré desde a sua concepção, esse mesmo Espírito de Deus passa a ser legitimamente identificado e conhecido como «Espírito de Cristo» (Rm 8:9; Fp 1:19).</w:t>
      </w:r>
    </w:p>
    <w:p>
      <w:pPr>
        <w:spacing w:before="120" w:after="40" w:beforeAutospacing="0" w:afterAutospacing="0"/>
      </w:pPr>
      <w:r>
        <w:rPr>
          <w:b w:val="1"/>
          <w:color w:val="1A202C"/>
        </w:rPr>
        <w:t>4.3. Jesus Cristo — O Filho do Homem e Filho de Deus</w:t>
      </w:r>
    </w:p>
    <w:p>
      <w:pPr>
        <w:spacing w:lineRule="auto" w:line="288" w:after="160" w:beforeAutospacing="0" w:afterAutospacing="0"/>
        <w:jc w:val="both"/>
      </w:pPr>
      <w:r>
        <w:t>A identidade de Jesus de Nazaré desdobra-se em duas verdades harmoniosas e complementares:</w:t>
      </w:r>
      <w:r>
        <w:br w:type="textWrapping"/>
      </w:r>
      <w:r>
        <w:t>• Filho do Homem: Porque é verdadeiramente homem, nascido de mulher (Gl 4:4), descendente biológico e genealógico de Davi e participante real da natureza humana em todos os seus aspectos biológicos, psicológicos e históricos, exceto no pecado.</w:t>
      </w:r>
      <w:r>
        <w:br w:type="textWrapping"/>
      </w:r>
      <w:r>
        <w:t>• Filho de Deus: Porque seu Espírito é o próprio Espírito de Deus, emanado e enviado do céu da parte de Deus e reconhecido na figura humana.</w:t>
      </w:r>
      <w:r>
        <w:br w:type="textWrapping"/>
      </w:r>
      <w:r>
        <w:t>Diferentemente dos fiéis crentes — nos quais o Espírito Santo habita por comunhão —, em Jesus Cristo o Espírito de Deus encarnou na totalidade constitutiva de sua identidade desde a concepção milagrosa no ventre de Maria.</w:t>
      </w:r>
    </w:p>
    <w:p>
      <w:pPr>
        <w:spacing w:before="160" w:after="40" w:beforeAutospacing="0" w:afterAutospacing="0"/>
      </w:pPr>
      <w:r>
        <w:rPr>
          <w:b w:val="1"/>
          <w:color w:val="A06E1E"/>
          <w:sz w:val="22"/>
        </w:rPr>
        <w:t>Texto Doutrinário: Resumo Teológico Unoteísta</w:t>
      </w:r>
    </w:p>
    <w:tbl>
      <w:tblPr>
        <w:tblW w:w="0" w:type="auto"/>
        <w:jc w:val="center"/>
        <w:tblBorders>
          <w:top w:val="single" w:sz="8" w:space="0" w:shadow="0" w:frame="0" w:color="D4AF37"/>
          <w:left w:val="single" w:sz="8" w:space="0" w:shadow="0" w:frame="0" w:color="D4AF37"/>
          <w:bottom w:val="single" w:sz="8" w:space="0" w:shadow="0" w:frame="0" w:color="D4AF37"/>
          <w:right w:val="single" w:sz="8" w:space="0" w:shadow="0" w:frame="0" w:color="D4AF37"/>
          <w:insideH w:val="single" w:sz="8" w:space="0" w:shadow="0" w:frame="0" w:color="D4AF37"/>
          <w:insideV w:val="single" w:sz="8" w:space="0" w:shadow="0" w:frame="0" w:color="D4AF37"/>
        </w:tblBorders>
        <w:tblLook w:val="04A0"/>
      </w:tblPr>
      <w:tblGrid>
        <w:gridCol w:w="9461"/>
      </w:tblGrid>
      <w:tr>
        <w:tc>
          <w:tcPr>
            <w:tcW w:w="9461" w:type="dxa"/>
            <w:shd w:val="clear" w:color="auto" w:fill="FBF9F5"/>
            <w:tcMar>
              <w:top w:w="140" w:type="dxa"/>
              <w:left w:w="180" w:type="dxa"/>
              <w:bottom w:w="140" w:type="dxa"/>
              <w:right w:w="180" w:type="dxa"/>
            </w:tcMar>
          </w:tcPr>
          <w:p/>
          <w:p>
            <w:pPr>
              <w:spacing w:lineRule="auto" w:line="276" w:after="80" w:beforeAutospacing="0" w:afterAutospacing="0"/>
              <w:jc w:val="both"/>
            </w:pPr>
            <w:r>
              <w:rPr>
                <w:rFonts w:ascii="Calibri" w:hAnsi="Calibri"/>
                <w:b w:val="0"/>
                <w:sz w:val="20"/>
              </w:rPr>
              <w:t>Há um só Deus, o Pai; um só Espírito de Deus; e Jesus Cristo, o homem no qual esse Espírito se encarnou desde a concepção.</w:t>
            </w:r>
          </w:p>
          <w:p>
            <w:pPr>
              <w:spacing w:lineRule="auto" w:line="276" w:after="80" w:beforeAutospacing="0" w:afterAutospacing="0"/>
              <w:jc w:val="both"/>
            </w:pPr>
            <w:r>
              <w:rPr>
                <w:rFonts w:ascii="Calibri" w:hAnsi="Calibri"/>
                <w:b w:val="0"/>
                <w:sz w:val="20"/>
              </w:rPr>
              <w:t>Jesus não é outro Deus ao lado do Pai. Ele é o homem no qual o próprio Espírito de Deus se encarnou e através do qual Deus se manifestou em carne.</w:t>
            </w:r>
          </w:p>
          <w:p>
            <w:pPr>
              <w:spacing w:lineRule="auto" w:line="276" w:after="80" w:beforeAutospacing="0" w:afterAutospacing="0"/>
              <w:jc w:val="both"/>
            </w:pPr>
            <w:r>
              <w:rPr>
                <w:rFonts w:ascii="Calibri" w:hAnsi="Calibri"/>
                <w:b w:val="0"/>
                <w:sz w:val="20"/>
              </w:rPr>
              <w:t>O Espírito que estava em Jesus não era um espírito estranho ou independente de Deus. Era o próprio Espírito de Deus, o Espírito do Pai. Ao encarnar em Jesus, esse Espírito passou a ser identificado como Espírito de Cristo.</w:t>
            </w:r>
          </w:p>
          <w:p>
            <w:pPr>
              <w:spacing w:lineRule="auto" w:line="276" w:after="80" w:beforeAutospacing="0" w:afterAutospacing="0"/>
              <w:jc w:val="both"/>
            </w:pPr>
            <w:r>
              <w:rPr>
                <w:rFonts w:ascii="Calibri" w:hAnsi="Calibri"/>
                <w:b w:val="0"/>
                <w:sz w:val="20"/>
              </w:rPr>
              <w:t>Por isso, Jesus é chamado tanto Filho do Homem quanto Filho de Deus:</w:t>
            </w:r>
          </w:p>
          <w:p>
            <w:pPr>
              <w:spacing w:lineRule="auto" w:line="276" w:after="80" w:beforeAutospacing="0" w:afterAutospacing="0"/>
              <w:jc w:val="both"/>
            </w:pPr>
            <w:r>
              <w:rPr>
                <w:rFonts w:ascii="Calibri" w:hAnsi="Calibri"/>
                <w:b w:val="1"/>
                <w:color w:val="1A202C"/>
                <w:sz w:val="20"/>
              </w:rPr>
              <w:t>• Filho do Homem, porque é verdadeiramente homem, nascido de mulher e participante da humanidade.</w:t>
            </w:r>
          </w:p>
          <w:p>
            <w:pPr>
              <w:spacing w:lineRule="auto" w:line="276" w:after="80" w:beforeAutospacing="0" w:afterAutospacing="0"/>
              <w:jc w:val="both"/>
            </w:pPr>
            <w:r>
              <w:rPr>
                <w:rFonts w:ascii="Calibri" w:hAnsi="Calibri"/>
                <w:b w:val="1"/>
                <w:color w:val="1A202C"/>
                <w:sz w:val="20"/>
              </w:rPr>
              <w:t>• Filho de Deus, porque seu Espírito é o próprio Espírito de Deus, emanado e enviado do céu da parte de Deus e reconhecido na figura humana.</w:t>
            </w:r>
          </w:p>
          <w:p>
            <w:pPr>
              <w:spacing w:lineRule="auto" w:line="276" w:after="80" w:beforeAutospacing="0" w:afterAutospacing="0"/>
              <w:jc w:val="both"/>
            </w:pPr>
            <w:r>
              <w:rPr>
                <w:rFonts w:ascii="Calibri" w:hAnsi="Calibri"/>
                <w:b w:val="0"/>
                <w:sz w:val="20"/>
              </w:rPr>
              <w:t>Nos crentes, o Espírito de Deus habita; em Jesus, o Espírito de Deus encarna.</w:t>
            </w:r>
          </w:p>
          <w:p>
            <w:pPr>
              <w:spacing w:lineRule="auto" w:line="276" w:after="80" w:beforeAutospacing="0" w:afterAutospacing="0"/>
              <w:jc w:val="both"/>
            </w:pPr>
            <w:r>
              <w:rPr>
                <w:rFonts w:ascii="Calibri" w:hAnsi="Calibri"/>
                <w:b w:val="0"/>
                <w:sz w:val="20"/>
              </w:rPr>
              <w:t>A encarnação, portanto, não é a união de duas pessoas nem a criação de um segundo Deus, mas o próprio Deus habitando plenamente em um homem verdadeiro.</w:t>
            </w:r>
          </w:p>
          <w:p>
            <w:pPr>
              <w:spacing w:lineRule="auto" w:line="276" w:after="80" w:beforeAutospacing="0" w:afterAutospacing="0"/>
              <w:jc w:val="both"/>
            </w:pPr>
            <w:r>
              <w:rPr>
                <w:rFonts w:ascii="Calibri" w:hAnsi="Calibri"/>
                <w:b w:val="1"/>
                <w:color w:val="1A202C"/>
                <w:sz w:val="20"/>
              </w:rPr>
              <w:t>Por isso, cremos que Jesus é o Pai:</w:t>
            </w:r>
          </w:p>
          <w:p>
            <w:pPr>
              <w:spacing w:lineRule="auto" w:line="276" w:after="80" w:beforeAutospacing="0" w:afterAutospacing="0"/>
              <w:jc w:val="both"/>
            </w:pPr>
            <w:r>
              <w:rPr>
                <w:rFonts w:ascii="Calibri" w:hAnsi="Calibri"/>
                <w:b w:val="0"/>
                <w:sz w:val="20"/>
              </w:rPr>
              <w:t>Não porque a humanidade de Jesus seja o Pai, mas porque o Espírito que nele habita e que constitui a sua identidade divina é o próprio Pai manifestado em carne.</w:t>
            </w:r>
          </w:p>
          <w:p>
            <w:pPr>
              <w:spacing w:lineRule="auto" w:line="276" w:after="80" w:beforeAutospacing="0" w:afterAutospacing="0"/>
              <w:jc w:val="both"/>
            </w:pPr>
            <w:r>
              <w:rPr>
                <w:rFonts w:ascii="Calibri" w:hAnsi="Calibri"/>
                <w:b w:val="1"/>
                <w:color w:val="1A202C"/>
                <w:sz w:val="20"/>
              </w:rPr>
              <w:t>Jesus é o Pai quanto ao Espírito e é o homem quanto à carne.</w:t>
            </w:r>
          </w:p>
        </w:tc>
      </w:tr>
    </w:tbl>
    <w:p>
      <w:pPr>
        <w:spacing w:after="200" w:beforeAutospacing="0" w:afterAutospacing="0"/>
      </w:pPr>
    </w:p>
    <w:p>
      <w:pPr>
        <w:spacing w:before="320" w:after="120" w:beforeAutospacing="0" w:afterAutospacing="0"/>
      </w:pPr>
      <w:r>
        <w:rPr>
          <w:rFonts w:ascii="Georgia" w:hAnsi="Georgia"/>
          <w:b w:val="1"/>
          <w:color w:val="1A202C"/>
          <w:sz w:val="28"/>
        </w:rPr>
        <w:t>5. Confissão de Fé Unoteísta</w:t>
      </w:r>
    </w:p>
    <w:p>
      <w:pPr>
        <w:spacing w:lineRule="auto" w:line="288" w:after="160" w:beforeAutospacing="0" w:afterAutospacing="0"/>
        <w:jc w:val="both"/>
      </w:pPr>
      <w:r>
        <w:t xml:space="preserve">A declaração formal da doutrina unoteísta encontra-se consolidada em sua </w:t>
      </w:r>
      <w:r>
        <w:rPr>
          <w:b w:val="1"/>
        </w:rPr>
        <w:t>Confissão de Fé</w:t>
      </w:r>
      <w:r>
        <w:t>, composta por doze artigos numerados sem o emprego de iconografias ou elementos alegóricos, preservando sobriedade estritamente confessional:</w:t>
      </w:r>
    </w:p>
    <w:p>
      <w:pPr>
        <w:spacing w:lineRule="auto" w:line="276" w:after="80" w:beforeAutospacing="0" w:afterAutospacing="0"/>
        <w:jc w:val="both"/>
      </w:pPr>
      <w:r>
        <w:rPr>
          <w:b w:val="1"/>
          <w:color w:val="1A202C"/>
        </w:rPr>
        <w:t xml:space="preserve">Artigo 1. </w:t>
      </w:r>
      <w:r>
        <w:t>Cremos em um só Deus, o Pai, que é Espírito e fonte de todas as coisas.</w:t>
      </w:r>
    </w:p>
    <w:p>
      <w:pPr>
        <w:spacing w:lineRule="auto" w:line="276" w:after="80" w:beforeAutospacing="0" w:afterAutospacing="0"/>
        <w:jc w:val="both"/>
      </w:pPr>
      <w:r>
        <w:rPr>
          <w:b w:val="1"/>
          <w:color w:val="1A202C"/>
        </w:rPr>
        <w:t xml:space="preserve">Artigo 2. </w:t>
      </w:r>
      <w:r>
        <w:t>Cremos em um só Espírito de Deus, o Espírito Santo, que procede do Pai, é enviado por Deus e manifesta a presença e a vontade de Deus.</w:t>
      </w:r>
    </w:p>
    <w:p>
      <w:pPr>
        <w:spacing w:lineRule="auto" w:line="276" w:after="80" w:beforeAutospacing="0" w:afterAutospacing="0"/>
        <w:jc w:val="both"/>
      </w:pPr>
      <w:r>
        <w:rPr>
          <w:b w:val="1"/>
          <w:color w:val="1A202C"/>
        </w:rPr>
        <w:t xml:space="preserve">Artigo 3. </w:t>
      </w:r>
      <w:r>
        <w:t>Cremos em Jesus Cristo, o Filho do Homem, o verdadeiro homem, nascido de mulher e gerado por Deus por meio do seu Espírito Santo.</w:t>
      </w:r>
    </w:p>
    <w:p>
      <w:pPr>
        <w:spacing w:lineRule="auto" w:line="276" w:after="80" w:beforeAutospacing="0" w:afterAutospacing="0"/>
        <w:jc w:val="both"/>
      </w:pPr>
      <w:r>
        <w:rPr>
          <w:b w:val="1"/>
          <w:color w:val="1A202C"/>
        </w:rPr>
        <w:t xml:space="preserve">Artigo 4. </w:t>
      </w:r>
      <w:r>
        <w:t>Cremos que o Espírito de Deus se encarnou em Jesus desde a sua concepção. Por isso, aquilo que foi gerado em Maria é do Espírito Santo e pertence a Ele.</w:t>
      </w:r>
    </w:p>
    <w:p>
      <w:pPr>
        <w:spacing w:lineRule="auto" w:line="276" w:after="80" w:beforeAutospacing="0" w:afterAutospacing="0"/>
        <w:jc w:val="both"/>
      </w:pPr>
      <w:r>
        <w:rPr>
          <w:b w:val="1"/>
          <w:color w:val="1A202C"/>
        </w:rPr>
        <w:t xml:space="preserve">Artigo 5. </w:t>
      </w:r>
      <w:r>
        <w:t>Cremos que o Espírito que estava em Jesus não era outro espírito nem um espírito independente de Deus, mas era o próprio Espírito de Deus, o Espírito do Pai.</w:t>
      </w:r>
    </w:p>
    <w:p>
      <w:pPr>
        <w:spacing w:lineRule="auto" w:line="276" w:after="80" w:beforeAutospacing="0" w:afterAutospacing="0"/>
        <w:jc w:val="both"/>
      </w:pPr>
      <w:r>
        <w:rPr>
          <w:b w:val="1"/>
          <w:color w:val="1A202C"/>
        </w:rPr>
        <w:t xml:space="preserve">Artigo 6. </w:t>
      </w:r>
      <w:r>
        <w:t>Cremos que, ao encarnar em Jesus, o Espírito de Deus passou a ser identificado como Espírito de Cristo.</w:t>
      </w:r>
    </w:p>
    <w:p>
      <w:pPr>
        <w:spacing w:lineRule="auto" w:line="276" w:after="80" w:beforeAutospacing="0" w:afterAutospacing="0"/>
        <w:jc w:val="both"/>
      </w:pPr>
      <w:r>
        <w:rPr>
          <w:b w:val="1"/>
          <w:color w:val="1A202C"/>
        </w:rPr>
        <w:t xml:space="preserve">Artigo 7. </w:t>
      </w:r>
      <w:r>
        <w:t>Cremos que Jesus é chamado Filho do Homem porque é verdadeiramente homem, nascido de mulher e participante da humanidade.</w:t>
      </w:r>
    </w:p>
    <w:p>
      <w:pPr>
        <w:spacing w:lineRule="auto" w:line="276" w:after="80" w:beforeAutospacing="0" w:afterAutospacing="0"/>
        <w:jc w:val="both"/>
      </w:pPr>
      <w:r>
        <w:rPr>
          <w:b w:val="1"/>
          <w:color w:val="A06E1E"/>
        </w:rPr>
        <w:t xml:space="preserve">Artigo 8. </w:t>
      </w:r>
      <w:r>
        <w:rPr>
          <w:b w:val="1"/>
        </w:rPr>
        <w:t>Cremos que Jesus é chamado Filho de Deus porque nele encarnou o próprio Espírito de Deus, emanado e enviado do céu da parte do Pai que passa a ser conhecido na figura humana sendo, o messias, filho de davi, nosso Rei e vimos a sua gloria , gloria que na condição humana assume, como unigênito do Pai pois como homem herdou tudo ,recebeu todo poder e autoridade toda honra gloria e louvor.</w:t>
      </w:r>
    </w:p>
    <w:p>
      <w:pPr>
        <w:spacing w:lineRule="auto" w:line="276" w:after="80" w:beforeAutospacing="0" w:afterAutospacing="0"/>
        <w:jc w:val="both"/>
      </w:pPr>
      <w:r>
        <w:rPr>
          <w:b w:val="1"/>
          <w:color w:val="1A202C"/>
        </w:rPr>
        <w:t xml:space="preserve">Artigo 9. </w:t>
      </w:r>
      <w:r>
        <w:t>Cremos que a encarnação não é a divisão de Deus em pessoas distintas, mas o próprio Deus habitando corporalmente em um homem verdadeiro.</w:t>
      </w:r>
    </w:p>
    <w:p>
      <w:pPr>
        <w:spacing w:lineRule="auto" w:line="276" w:after="80" w:beforeAutospacing="0" w:afterAutospacing="0"/>
        <w:jc w:val="both"/>
      </w:pPr>
      <w:r>
        <w:rPr>
          <w:b w:val="1"/>
          <w:color w:val="1A202C"/>
        </w:rPr>
        <w:t xml:space="preserve">Artigo 10. </w:t>
      </w:r>
      <w:r>
        <w:t>Cremos que Jesus é o homem no qual o Pai se manifestou ao mundo, de modo que aquele que vê a Jesus vê o Pai operando nele.</w:t>
      </w:r>
    </w:p>
    <w:p>
      <w:pPr>
        <w:spacing w:lineRule="auto" w:line="276" w:after="80" w:beforeAutospacing="0" w:afterAutospacing="0"/>
        <w:jc w:val="both"/>
      </w:pPr>
      <w:r>
        <w:rPr>
          <w:b w:val="1"/>
          <w:color w:val="1A202C"/>
        </w:rPr>
        <w:t xml:space="preserve">Artigo 11. </w:t>
      </w:r>
      <w:r>
        <w:t>Cremos que Jesus é o Pai quanto ao Espírito que nele habita e que é o homem quanto à carne que assumiu.</w:t>
      </w:r>
    </w:p>
    <w:p>
      <w:pPr>
        <w:spacing w:lineRule="auto" w:line="276" w:after="80" w:beforeAutospacing="0" w:afterAutospacing="0"/>
        <w:jc w:val="both"/>
      </w:pPr>
      <w:r>
        <w:rPr>
          <w:b w:val="1"/>
          <w:color w:val="1A202C"/>
        </w:rPr>
        <w:t xml:space="preserve">Artigo 12. </w:t>
      </w:r>
      <w:r>
        <w:t>Cremos que a salvação consiste em conhecer o único Deus verdadeiro, o Pai, e a Jesus Cristo, o homem no qual o Espírito do Pai se manifestou.</w:t>
      </w:r>
    </w:p>
    <w:p>
      <w:pPr>
        <w:spacing w:before="320" w:after="120" w:beforeAutospacing="0" w:afterAutospacing="0"/>
      </w:pPr>
      <w:r>
        <w:rPr>
          <w:rFonts w:ascii="Georgia" w:hAnsi="Georgia"/>
          <w:b w:val="1"/>
          <w:color w:val="1A202C"/>
          <w:sz w:val="28"/>
        </w:rPr>
        <w:t>6. O Cânon das Escrituras (69 Livros)</w:t>
      </w:r>
    </w:p>
    <w:p>
      <w:pPr>
        <w:spacing w:lineRule="auto" w:line="288" w:after="160" w:beforeAutospacing="0" w:afterAutospacing="0"/>
        <w:jc w:val="both"/>
      </w:pPr>
      <w:r>
        <w:t xml:space="preserve">O cânon bíblico adotado pelo Unoteísmo possui uma configuração específica constituída por </w:t>
      </w:r>
      <w:r>
        <w:rPr>
          <w:b w:val="1"/>
        </w:rPr>
        <w:t>69 livros canônicos</w:t>
      </w:r>
      <w:r>
        <w:t>, divididos e fundamentados da seguinte forma:</w:t>
      </w:r>
    </w:p>
    <w:p>
      <w:pPr>
        <w:pStyle w:val="P22"/>
        <w:spacing w:lineRule="auto" w:line="276" w:after="80" w:beforeAutospacing="0" w:afterAutospacing="0"/>
      </w:pPr>
      <w:r>
        <w:rPr>
          <w:b w:val="1"/>
        </w:rPr>
        <w:t xml:space="preserve">Antigo Testamento (42 Livros): </w:t>
      </w:r>
      <w:r>
        <w:t>Compreende o cânon tradicional das Escrituras Hebraicas enriquecido pelos livros históricos e sapienciais preservados na tradição da Septuaginta grega (LXX). Destaca-se a preservação integral do Livro do Profeta Daniel com os seus 14 capítulos completos, incorporando os relatos da História de Susana (cap. 13) e Bel e o Dragão (cap. 14).</w:t>
      </w:r>
    </w:p>
    <w:p>
      <w:pPr>
        <w:pStyle w:val="P22"/>
        <w:spacing w:lineRule="auto" w:line="276" w:after="80" w:beforeAutospacing="0" w:afterAutospacing="0"/>
      </w:pPr>
      <w:r>
        <w:rPr>
          <w:b w:val="1"/>
        </w:rPr>
        <w:t xml:space="preserve">Novo Testamento (27 Livros): </w:t>
      </w:r>
      <w:r>
        <w:t>Compreende integralmente os 27 escritos apostólicos amplamente reconhecidos pela igreja primitiva (dos Evangelhos de Mateus, Marcos, Lucas e João, passando pelas Epístolas Paulinas e Gerais, até o Apocalipse de São João).</w:t>
      </w:r>
    </w:p>
    <w:p>
      <w:pPr>
        <w:pStyle w:val="P22"/>
        <w:spacing w:lineRule="auto" w:line="276" w:after="80" w:beforeAutospacing="0" w:afterAutospacing="0"/>
      </w:pPr>
      <w:r>
        <w:rPr>
          <w:b w:val="1"/>
        </w:rPr>
        <w:t xml:space="preserve">Delimitação em Relação às Coleções de 77 Livros: </w:t>
      </w:r>
      <w:r>
        <w:t>O Unoteísmo estabelece distinção formal entre as Escrituras inspiradas e a literatura patrística do início do século II. Em certas edições documentais de estudo histórico figuram oito cartas dos Padres Apostólicos (sete epístolas de Santo Inácio de Antioquia e a Primeira Epístola de São Clemente de Roma). Na edição canônica e impressa oficial da Bíblia Unoteísta, todavia, esses oito livros figuram como escritos patrísticos de consulta e estudo histórico, delimitando o cânon bíblico estrito e fechado aos 69 livros.</w:t>
      </w:r>
    </w:p>
    <w:p>
      <w:pPr>
        <w:spacing w:before="320" w:after="120" w:beforeAutospacing="0" w:afterAutospacing="0"/>
      </w:pPr>
      <w:r>
        <w:rPr>
          <w:rFonts w:ascii="Georgia" w:hAnsi="Georgia"/>
          <w:b w:val="1"/>
          <w:color w:val="1A202C"/>
          <w:sz w:val="28"/>
        </w:rPr>
        <w:t>7. Análise Teológica Comparada</w:t>
      </w:r>
    </w:p>
    <w:p>
      <w:pPr>
        <w:spacing w:lineRule="auto" w:line="288" w:after="160" w:beforeAutospacing="0" w:afterAutospacing="0"/>
        <w:jc w:val="both"/>
      </w:pPr>
      <w:r>
        <w:t>A tabela a seguir contrasta a perspectiva unoteísta com as três principais correntes históricas que disputaram a definição da divindade ao longo dos séculos:</w:t>
      </w:r>
    </w:p>
    <w:tbl>
      <w:tblPr>
        <w:tblW w:w="0" w:type="auto"/>
        <w:jc w:val="center"/>
        <w:tblBorders>
          <w:top w:val="single" w:sz="4" w:space="0" w:shadow="0" w:frame="0" w:color="CBD5E1"/>
          <w:left w:val="single" w:sz="4" w:space="0" w:shadow="0" w:frame="0" w:color="CBD5E1"/>
          <w:bottom w:val="single" w:sz="4" w:space="0" w:shadow="0" w:frame="0" w:color="CBD5E1"/>
          <w:right w:val="single" w:sz="4" w:space="0" w:shadow="0" w:frame="0" w:color="CBD5E1"/>
          <w:insideH w:val="single" w:sz="4" w:space="0" w:shadow="0" w:frame="0" w:color="CBD5E1"/>
          <w:insideV w:val="single" w:sz="4" w:space="0" w:shadow="0" w:frame="0" w:color="CBD5E1"/>
        </w:tblBorders>
        <w:tblLook w:val="04A0"/>
      </w:tblPr>
      <w:tblGrid>
        <w:gridCol w:w="1728"/>
        <w:gridCol w:w="1872"/>
        <w:gridCol w:w="1872"/>
        <w:gridCol w:w="1944"/>
        <w:gridCol w:w="2045"/>
      </w:tblGrid>
      <w:tr>
        <w:tc>
          <w:tcPr>
            <w:tcW w:w="1728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/>
                <w:b w:val="1"/>
                <w:color w:val="FFFFFF"/>
                <w:sz w:val="17"/>
              </w:rPr>
              <w:t>Critério</w:t>
            </w:r>
          </w:p>
        </w:tc>
        <w:tc>
          <w:tcPr>
            <w:tcW w:w="1872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/>
                <w:b w:val="1"/>
                <w:color w:val="FFFFFF"/>
                <w:sz w:val="17"/>
              </w:rPr>
              <w:t>Trinitarianismo</w:t>
            </w:r>
          </w:p>
        </w:tc>
        <w:tc>
          <w:tcPr>
            <w:tcW w:w="1872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/>
                <w:b w:val="1"/>
                <w:color w:val="FFFFFF"/>
                <w:sz w:val="17"/>
              </w:rPr>
              <w:t>Modalismo / Sabelianismo</w:t>
            </w:r>
          </w:p>
        </w:tc>
        <w:tc>
          <w:tcPr>
            <w:tcW w:w="194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/>
                <w:b w:val="1"/>
                <w:color w:val="FFFFFF"/>
                <w:sz w:val="17"/>
              </w:rPr>
              <w:t>Arianismo / Unitarianismo</w:t>
            </w:r>
          </w:p>
        </w:tc>
        <w:tc>
          <w:tcPr>
            <w:tcW w:w="2045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/>
                <w:b w:val="1"/>
                <w:color w:val="FFFFFF"/>
                <w:sz w:val="17"/>
              </w:rPr>
              <w:t>Unoteísmo</w:t>
            </w:r>
          </w:p>
        </w:tc>
      </w:tr>
      <w:tr>
        <w:tc>
          <w:tcPr>
            <w:tcW w:w="17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lineRule="auto" w:line="264" w:after="0" w:beforeAutospacing="0" w:afterAutospacing="0"/>
              <w:jc w:val="left"/>
            </w:pPr>
            <w:r>
              <w:rPr>
                <w:rFonts w:ascii="Calibri" w:hAnsi="Calibri"/>
                <w:b w:val="1"/>
                <w:color w:val="1A202C"/>
                <w:sz w:val="17"/>
              </w:rPr>
              <w:t>Concepção de Deus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lineRule="auto" w:line="264" w:after="0" w:beforeAutospacing="0" w:afterAutospacing="0"/>
              <w:jc w:val="left"/>
            </w:pPr>
            <w:r>
              <w:rPr>
                <w:rFonts w:ascii="Calibri" w:hAnsi="Calibri"/>
                <w:color w:val="282C34"/>
                <w:sz w:val="17"/>
              </w:rPr>
              <w:t>Três pessoas distintas em uma única substância (homoousios).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lineRule="auto" w:line="264" w:after="0" w:beforeAutospacing="0" w:afterAutospacing="0"/>
              <w:jc w:val="left"/>
            </w:pPr>
            <w:r>
              <w:rPr>
                <w:rFonts w:ascii="Calibri" w:hAnsi="Calibri"/>
                <w:color w:val="282C34"/>
                <w:sz w:val="17"/>
              </w:rPr>
              <w:t>Uma única pessoa que muda de modo/papel sucessivamente.</w:t>
            </w:r>
          </w:p>
        </w:tc>
        <w:tc>
          <w:tcPr>
            <w:tcW w:w="194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lineRule="auto" w:line="264" w:after="0" w:beforeAutospacing="0" w:afterAutospacing="0"/>
              <w:jc w:val="left"/>
            </w:pPr>
            <w:r>
              <w:rPr>
                <w:rFonts w:ascii="Calibri" w:hAnsi="Calibri"/>
                <w:color w:val="282C34"/>
                <w:sz w:val="17"/>
              </w:rPr>
              <w:t>Um só Deus (o Pai); Cristo é criatura ou profeta subordinado.</w:t>
            </w:r>
          </w:p>
        </w:tc>
        <w:tc>
          <w:tcPr>
            <w:tcW w:w="2045" w:type="dxa"/>
            <w:shd w:val="clear" w:color="auto" w:fill="FEF3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lineRule="auto" w:line="264" w:after="0" w:beforeAutospacing="0" w:afterAutospacing="0"/>
              <w:jc w:val="left"/>
            </w:pPr>
            <w:r>
              <w:rPr>
                <w:rFonts w:ascii="Calibri" w:hAnsi="Calibri"/>
                <w:b w:val="1"/>
                <w:color w:val="1A202C"/>
                <w:sz w:val="17"/>
              </w:rPr>
              <w:t>Um só Deus, o Pai: absoluto, que encarna no homem Jesus.</w:t>
            </w:r>
          </w:p>
        </w:tc>
      </w:tr>
      <w:tr>
        <w:tc>
          <w:tcPr>
            <w:tcW w:w="172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lineRule="auto" w:line="264" w:after="0" w:beforeAutospacing="0" w:afterAutospacing="0"/>
              <w:jc w:val="left"/>
            </w:pPr>
            <w:r>
              <w:rPr>
                <w:rFonts w:ascii="Calibri" w:hAnsi="Calibri"/>
                <w:b w:val="1"/>
                <w:color w:val="1A202C"/>
                <w:sz w:val="17"/>
              </w:rPr>
              <w:t>Natureza de Jesus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lineRule="auto" w:line="264" w:after="0" w:beforeAutospacing="0" w:afterAutospacing="0"/>
              <w:jc w:val="left"/>
            </w:pPr>
            <w:r>
              <w:rPr>
                <w:rFonts w:ascii="Calibri" w:hAnsi="Calibri"/>
                <w:color w:val="282C34"/>
                <w:sz w:val="17"/>
              </w:rPr>
              <w:t>Segunda pessoa divina que assume a natureza humana (duas naturezas).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lineRule="auto" w:line="264" w:after="0" w:beforeAutospacing="0" w:afterAutospacing="0"/>
              <w:jc w:val="left"/>
            </w:pPr>
            <w:r>
              <w:rPr>
                <w:rFonts w:ascii="Calibri" w:hAnsi="Calibri"/>
                <w:color w:val="282C34"/>
                <w:sz w:val="17"/>
              </w:rPr>
              <w:t>Modo temporário do Pai na terra; o Pai sofreu na cruz (patripassianismo).</w:t>
            </w:r>
          </w:p>
        </w:tc>
        <w:tc>
          <w:tcPr>
            <w:tcW w:w="194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lineRule="auto" w:line="264" w:after="0" w:beforeAutospacing="0" w:afterAutospacing="0"/>
              <w:jc w:val="left"/>
            </w:pPr>
            <w:r>
              <w:rPr>
                <w:rFonts w:ascii="Calibri" w:hAnsi="Calibri"/>
                <w:color w:val="282C34"/>
                <w:sz w:val="17"/>
              </w:rPr>
              <w:t>Criatura excelsa pré-existente (Ário) ou mero homem especial (Socino).</w:t>
            </w:r>
          </w:p>
        </w:tc>
        <w:tc>
          <w:tcPr>
            <w:tcW w:w="2045" w:type="dxa"/>
            <w:shd w:val="clear" w:color="auto" w:fill="FFFBEB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lineRule="auto" w:line="264" w:after="0" w:beforeAutospacing="0" w:afterAutospacing="0"/>
              <w:jc w:val="left"/>
            </w:pPr>
            <w:r>
              <w:rPr>
                <w:rFonts w:ascii="Calibri" w:hAnsi="Calibri"/>
                <w:b w:val="1"/>
                <w:color w:val="1A202C"/>
                <w:sz w:val="17"/>
              </w:rPr>
              <w:t>Verdadeiro homem no qual o Espírito do Pai encarnou plenamente.</w:t>
            </w:r>
          </w:p>
        </w:tc>
      </w:tr>
      <w:tr>
        <w:tc>
          <w:tcPr>
            <w:tcW w:w="17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lineRule="auto" w:line="264" w:after="0" w:beforeAutospacing="0" w:afterAutospacing="0"/>
              <w:jc w:val="left"/>
            </w:pPr>
            <w:r>
              <w:rPr>
                <w:rFonts w:ascii="Calibri" w:hAnsi="Calibri"/>
                <w:b w:val="1"/>
                <w:color w:val="1A202C"/>
                <w:sz w:val="17"/>
              </w:rPr>
              <w:t>O Espírito Santo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lineRule="auto" w:line="264" w:after="0" w:beforeAutospacing="0" w:afterAutospacing="0"/>
              <w:jc w:val="left"/>
            </w:pPr>
            <w:r>
              <w:rPr>
                <w:rFonts w:ascii="Calibri" w:hAnsi="Calibri"/>
                <w:color w:val="282C34"/>
                <w:sz w:val="17"/>
              </w:rPr>
              <w:t>Terceira pessoa divina, coeterna e coigual ao Pai e ao Filho.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lineRule="auto" w:line="264" w:after="0" w:beforeAutospacing="0" w:afterAutospacing="0"/>
              <w:jc w:val="left"/>
            </w:pPr>
            <w:r>
              <w:rPr>
                <w:rFonts w:ascii="Calibri" w:hAnsi="Calibri"/>
                <w:color w:val="282C34"/>
                <w:sz w:val="17"/>
              </w:rPr>
              <w:t>Modo posterior de Deus operando na dispensação da Igreja.</w:t>
            </w:r>
          </w:p>
        </w:tc>
        <w:tc>
          <w:tcPr>
            <w:tcW w:w="194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lineRule="auto" w:line="264" w:after="0" w:beforeAutospacing="0" w:afterAutospacing="0"/>
              <w:jc w:val="left"/>
            </w:pPr>
            <w:r>
              <w:rPr>
                <w:rFonts w:ascii="Calibri" w:hAnsi="Calibri"/>
                <w:color w:val="282C34"/>
                <w:sz w:val="17"/>
              </w:rPr>
              <w:t>A força ativa ou energia impessoal de Deus em ação.</w:t>
            </w:r>
          </w:p>
        </w:tc>
        <w:tc>
          <w:tcPr>
            <w:tcW w:w="2045" w:type="dxa"/>
            <w:shd w:val="clear" w:color="auto" w:fill="FEF3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lineRule="auto" w:line="264" w:after="0" w:beforeAutospacing="0" w:afterAutospacing="0"/>
              <w:jc w:val="left"/>
            </w:pPr>
            <w:r>
              <w:rPr>
                <w:rFonts w:ascii="Calibri" w:hAnsi="Calibri"/>
                <w:b w:val="1"/>
                <w:color w:val="1A202C"/>
                <w:sz w:val="17"/>
              </w:rPr>
              <w:t>O próprio Espírito e sopro vital do Pai, tornado Espírito de Cristo.</w:t>
            </w:r>
          </w:p>
        </w:tc>
      </w:tr>
      <w:tr>
        <w:tc>
          <w:tcPr>
            <w:tcW w:w="172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lineRule="auto" w:line="264" w:after="0" w:beforeAutospacing="0" w:afterAutospacing="0"/>
              <w:jc w:val="left"/>
            </w:pPr>
            <w:r>
              <w:rPr>
                <w:rFonts w:ascii="Calibri" w:hAnsi="Calibri"/>
                <w:b w:val="1"/>
                <w:color w:val="1A202C"/>
                <w:sz w:val="17"/>
              </w:rPr>
              <w:t>Relação Pai/Filho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lineRule="auto" w:line="264" w:after="0" w:beforeAutospacing="0" w:afterAutospacing="0"/>
              <w:jc w:val="left"/>
            </w:pPr>
            <w:r>
              <w:rPr>
                <w:rFonts w:ascii="Calibri" w:hAnsi="Calibri"/>
                <w:color w:val="282C34"/>
                <w:sz w:val="17"/>
              </w:rPr>
              <w:t>Pessoas eternamente distintas que se relacionam intimamente.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lineRule="auto" w:line="264" w:after="0" w:beforeAutospacing="0" w:afterAutospacing="0"/>
              <w:jc w:val="left"/>
            </w:pPr>
            <w:r>
              <w:rPr>
                <w:rFonts w:ascii="Calibri" w:hAnsi="Calibri"/>
                <w:color w:val="282C34"/>
                <w:sz w:val="17"/>
              </w:rPr>
              <w:t>Mesma pessoa mudando de roupagem e manifestação temporal.</w:t>
            </w:r>
          </w:p>
        </w:tc>
        <w:tc>
          <w:tcPr>
            <w:tcW w:w="194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lineRule="auto" w:line="264" w:after="0" w:beforeAutospacing="0" w:afterAutospacing="0"/>
              <w:jc w:val="left"/>
            </w:pPr>
            <w:r>
              <w:rPr>
                <w:rFonts w:ascii="Calibri" w:hAnsi="Calibri"/>
                <w:color w:val="282C34"/>
                <w:sz w:val="17"/>
              </w:rPr>
              <w:t>Criador absoluto e criatura/servo totalmente subordinada.</w:t>
            </w:r>
          </w:p>
        </w:tc>
        <w:tc>
          <w:tcPr>
            <w:tcW w:w="2045" w:type="dxa"/>
            <w:shd w:val="clear" w:color="auto" w:fill="FFFBEB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lineRule="auto" w:line="264" w:after="0" w:beforeAutospacing="0" w:afterAutospacing="0"/>
              <w:jc w:val="left"/>
            </w:pPr>
            <w:r>
              <w:rPr>
                <w:rFonts w:ascii="Calibri" w:hAnsi="Calibri"/>
                <w:b w:val="1"/>
                <w:color w:val="1A202C"/>
                <w:sz w:val="17"/>
              </w:rPr>
              <w:t>Jesus é o Pai quanto ao Espírito e o homem quanto à carne.</w:t>
            </w:r>
          </w:p>
        </w:tc>
      </w:tr>
      <w:tr>
        <w:tc>
          <w:tcPr>
            <w:tcW w:w="17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lineRule="auto" w:line="264" w:after="0" w:beforeAutospacing="0" w:afterAutospacing="0"/>
              <w:jc w:val="left"/>
            </w:pPr>
            <w:r>
              <w:rPr>
                <w:rFonts w:ascii="Calibri" w:hAnsi="Calibri"/>
                <w:b w:val="1"/>
                <w:color w:val="1A202C"/>
                <w:sz w:val="17"/>
              </w:rPr>
              <w:t>Postura Eclesiástica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lineRule="auto" w:line="264" w:after="0" w:beforeAutospacing="0" w:afterAutospacing="0"/>
              <w:jc w:val="left"/>
            </w:pPr>
            <w:r>
              <w:rPr>
                <w:rFonts w:ascii="Calibri" w:hAnsi="Calibri"/>
                <w:color w:val="282C34"/>
                <w:sz w:val="17"/>
              </w:rPr>
              <w:t>Hierarquias sacerdotais, dogmas canônicos conciliares vinculantes.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lineRule="auto" w:line="264" w:after="0" w:beforeAutospacing="0" w:afterAutospacing="0"/>
              <w:jc w:val="left"/>
            </w:pPr>
            <w:r>
              <w:rPr>
                <w:rFonts w:ascii="Calibri" w:hAnsi="Calibri"/>
                <w:color w:val="282C34"/>
                <w:sz w:val="17"/>
              </w:rPr>
              <w:t>Estrutura denominacional pentecostal ou carismática tradicional.</w:t>
            </w:r>
          </w:p>
        </w:tc>
        <w:tc>
          <w:tcPr>
            <w:tcW w:w="194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lineRule="auto" w:line="264" w:after="0" w:beforeAutospacing="0" w:afterAutospacing="0"/>
              <w:jc w:val="left"/>
            </w:pPr>
            <w:r>
              <w:rPr>
                <w:rFonts w:ascii="Calibri" w:hAnsi="Calibri"/>
                <w:color w:val="282C34"/>
                <w:sz w:val="17"/>
              </w:rPr>
              <w:t>Sectarismo institucional fechado ou racionalismo estrito.</w:t>
            </w:r>
          </w:p>
        </w:tc>
        <w:tc>
          <w:tcPr>
            <w:tcW w:w="2045" w:type="dxa"/>
            <w:shd w:val="clear" w:color="auto" w:fill="FEF3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lineRule="auto" w:line="264" w:after="0" w:beforeAutospacing="0" w:afterAutospacing="0"/>
              <w:jc w:val="left"/>
            </w:pPr>
            <w:r>
              <w:rPr>
                <w:rFonts w:ascii="Calibri" w:hAnsi="Calibri"/>
                <w:b w:val="1"/>
                <w:color w:val="1A202C"/>
                <w:sz w:val="17"/>
              </w:rPr>
              <w:t>Filosofia de vida racional, sem viés eclesial, dízimos ou clero.</w:t>
            </w:r>
          </w:p>
        </w:tc>
      </w:tr>
    </w:tbl>
    <w:p>
      <w:pPr>
        <w:spacing w:after="200" w:beforeAutospacing="0" w:afterAutospacing="0"/>
      </w:pPr>
    </w:p>
    <w:p>
      <w:pPr>
        <w:spacing w:before="320" w:after="120" w:beforeAutospacing="0" w:afterAutospacing="0"/>
      </w:pPr>
      <w:r>
        <w:rPr>
          <w:rFonts w:ascii="Georgia" w:hAnsi="Georgia"/>
          <w:b w:val="1"/>
          <w:color w:val="1A202C"/>
          <w:sz w:val="28"/>
        </w:rPr>
        <w:t>8. Ética Prática, Vivência e Comunidade</w:t>
      </w:r>
    </w:p>
    <w:p>
      <w:pPr>
        <w:spacing w:lineRule="auto" w:line="288" w:after="160" w:beforeAutospacing="0" w:afterAutospacing="0"/>
        <w:jc w:val="both"/>
      </w:pPr>
      <w:r>
        <w:t>Na dimensão existencial cotidiana, o Unoteísmo orienta que a relação com a verdade deve transcender o estudo puramente livresco ou acadêmico. A ética unoteísta caracteriza-se por:</w:t>
      </w:r>
    </w:p>
    <w:p>
      <w:pPr>
        <w:pStyle w:val="P22"/>
        <w:spacing w:lineRule="auto" w:line="276" w:after="80" w:beforeAutospacing="0" w:afterAutospacing="0"/>
      </w:pPr>
      <w:r>
        <w:rPr>
          <w:b w:val="1"/>
        </w:rPr>
        <w:t xml:space="preserve">Autonomia e Responsabilidade Moral Individual: </w:t>
      </w:r>
      <w:r>
        <w:t>O crente unoteísta é incentivado a exercer o sacerdócio individual, estudando as Escrituras diretamente e prestando contas de suas escolhas morais unicamente perante o Deus Criador e perante sua própria consciência.</w:t>
      </w:r>
    </w:p>
    <w:p>
      <w:pPr>
        <w:pStyle w:val="P22"/>
        <w:spacing w:lineRule="auto" w:line="276" w:after="80" w:beforeAutospacing="0" w:afterAutospacing="0"/>
      </w:pPr>
      <w:r>
        <w:rPr>
          <w:b w:val="1"/>
        </w:rPr>
        <w:t xml:space="preserve">Rejeição da Mercantilização Espiritual: </w:t>
      </w:r>
      <w:r>
        <w:t>Não há cobrança compulsória de dízimos, tributos eclesiásticos, campanhas de prosperidade ou comércio de objetos sagrados. As ações fraternas e a difusão da verdade realizam-se por meio de doações voluntárias, colaboração comunitária e dedicação pessoal desinteressada.</w:t>
      </w:r>
    </w:p>
    <w:p>
      <w:pPr>
        <w:pStyle w:val="P22"/>
        <w:spacing w:lineRule="auto" w:line="276" w:after="80" w:beforeAutospacing="0" w:afterAutospacing="0"/>
      </w:pPr>
      <w:r>
        <w:rPr>
          <w:b w:val="1"/>
        </w:rPr>
        <w:t xml:space="preserve">Universalidade e Respeito ao Pensamento Racional: </w:t>
      </w:r>
      <w:r>
        <w:t>Por operar sem viés sectário ou religioso, o Unoteísmo estabelece pontes de diálogo com a filosofia, a história, as ciências naturais e o pensamento crítico contemporâneo, considerando que a razão autêntica e a verdade divina nunca entram em contradição genuína.</w:t>
      </w:r>
    </w:p>
    <w:p>
      <w:pPr>
        <w:spacing w:before="320" w:after="120" w:beforeAutospacing="0" w:afterAutospacing="0"/>
      </w:pPr>
      <w:r>
        <w:rPr>
          <w:rFonts w:ascii="Georgia" w:hAnsi="Georgia"/>
          <w:b w:val="1"/>
          <w:color w:val="1A202C"/>
          <w:sz w:val="28"/>
        </w:rPr>
        <w:t>9. Referências e Bibliografia Recomendada</w:t>
      </w:r>
    </w:p>
    <w:p>
      <w:pPr>
        <w:spacing w:lineRule="auto" w:line="276" w:after="80" w:beforeAutospacing="0" w:afterAutospacing="0"/>
        <w:jc w:val="both"/>
      </w:pPr>
      <w:r>
        <w:rPr>
          <w:rFonts w:ascii="Calibri" w:hAnsi="Calibri"/>
          <w:color w:val="5A6473"/>
          <w:sz w:val="18"/>
        </w:rPr>
        <w:t>• ALAND, Kurt; ALAND, Barbara. The Text of the New Testament: An Introduction to the Critical Editions and to the Theory and Practice of Modern Textual Criticism. Grand Rapids: Eerdmans, 1989.</w:t>
      </w:r>
    </w:p>
    <w:p>
      <w:pPr>
        <w:spacing w:lineRule="auto" w:line="276" w:after="80" w:beforeAutospacing="0" w:afterAutospacing="0"/>
        <w:jc w:val="both"/>
      </w:pPr>
      <w:r>
        <w:rPr>
          <w:rFonts w:ascii="Calibri" w:hAnsi="Calibri"/>
          <w:color w:val="5A6473"/>
          <w:sz w:val="18"/>
        </w:rPr>
        <w:t>• BAUCKHAM, Richard. Jesus and the God of Israel: God Crucified and Other Studies on the New Testament's Christology of Divine Identity. Grand Rapids: Eerdmans, 2008.</w:t>
      </w:r>
    </w:p>
    <w:p>
      <w:pPr>
        <w:spacing w:lineRule="auto" w:line="276" w:after="80" w:beforeAutospacing="0" w:afterAutospacing="0"/>
        <w:jc w:val="both"/>
      </w:pPr>
      <w:r>
        <w:rPr>
          <w:rFonts w:ascii="Calibri" w:hAnsi="Calibri"/>
          <w:color w:val="5A6473"/>
          <w:sz w:val="18"/>
        </w:rPr>
        <w:t>• DUNN, James D. G. Christology in the Making: A New Testament Inquiry into the Origins of the Doctrine of the Incarnation. Londres: SCM Press, 1980.</w:t>
      </w:r>
    </w:p>
    <w:p>
      <w:pPr>
        <w:spacing w:lineRule="auto" w:line="276" w:after="80" w:beforeAutospacing="0" w:afterAutospacing="0"/>
        <w:jc w:val="both"/>
      </w:pPr>
      <w:r>
        <w:rPr>
          <w:rFonts w:ascii="Calibri" w:hAnsi="Calibri"/>
          <w:color w:val="5A6473"/>
          <w:sz w:val="18"/>
        </w:rPr>
        <w:t>• HURTADO, Larry W. One God, One Lord: Early Christian Devotion and Ancient Jewish Monotheism. Filadélfia: Fortress Press, 1988.</w:t>
      </w:r>
    </w:p>
    <w:p>
      <w:pPr>
        <w:spacing w:lineRule="auto" w:line="276" w:after="80" w:beforeAutospacing="0" w:afterAutospacing="0"/>
        <w:jc w:val="both"/>
      </w:pPr>
      <w:r>
        <w:rPr>
          <w:rFonts w:ascii="Calibri" w:hAnsi="Calibri"/>
          <w:color w:val="5A6473"/>
          <w:sz w:val="18"/>
        </w:rPr>
        <w:t>• LIDDELL, Henry George; SCOTT, Robert. A Greek-English Lexicon. Edição revisada por H. S. Jones e R. McKenzie. Oxford: Clarendon Press, 1996.</w:t>
      </w:r>
    </w:p>
    <w:p>
      <w:pPr>
        <w:spacing w:lineRule="auto" w:line="276" w:after="80" w:beforeAutospacing="0" w:afterAutospacing="0"/>
        <w:jc w:val="both"/>
      </w:pPr>
      <w:r>
        <w:rPr>
          <w:rFonts w:ascii="Calibri" w:hAnsi="Calibri"/>
          <w:color w:val="5A6473"/>
          <w:sz w:val="18"/>
        </w:rPr>
        <w:t>• METZGER, Bruce M. The Canon of the New Testament: Its Origin, Development, and Significance. Oxford: Clarendon Press, 1987.</w:t>
      </w:r>
    </w:p>
    <w:p>
      <w:pPr>
        <w:spacing w:lineRule="auto" w:line="276" w:after="80" w:beforeAutospacing="0" w:afterAutospacing="0"/>
        <w:jc w:val="both"/>
      </w:pPr>
      <w:r>
        <w:rPr>
          <w:rFonts w:ascii="Calibri" w:hAnsi="Calibri"/>
          <w:color w:val="5A6473"/>
          <w:sz w:val="18"/>
        </w:rPr>
        <w:t>• RAHLFS, Alfred; HANHART, Robert (eds.). Septuaginta: Id est Vetus Testamentum graece iuxta LXX interpretes. Stuttgart: Deutsche Bibelgesellschaft, 2006.</w:t>
      </w:r>
    </w:p>
    <w:p>
      <w:pPr>
        <w:spacing w:lineRule="auto" w:line="276" w:after="80" w:beforeAutospacing="0" w:afterAutospacing="0"/>
        <w:jc w:val="both"/>
      </w:pPr>
      <w:r>
        <w:rPr>
          <w:rFonts w:ascii="Calibri" w:hAnsi="Calibri"/>
          <w:color w:val="5A6473"/>
          <w:sz w:val="18"/>
        </w:rPr>
        <w:t>• UNOTEÍSMO. Bíblia Sagrada — Tradução Unoteísta: Cânon de 69 Livros e Interlinear Grego-Português. Edição Digital e Impressa, 2026. Disponível em: &lt;https://unoteismo.arthurlazarodesousasantos.workers.dev&gt;.</w:t>
      </w:r>
    </w:p>
    <w:p>
      <w:pPr>
        <w:spacing w:lineRule="auto" w:line="276" w:after="80" w:beforeAutospacing="0" w:afterAutospacing="0"/>
        <w:jc w:val="both"/>
      </w:pPr>
      <w:r>
        <w:rPr>
          <w:rFonts w:ascii="Calibri" w:hAnsi="Calibri"/>
          <w:color w:val="5A6473"/>
          <w:sz w:val="18"/>
        </w:rPr>
        <w:t>• UNOTEÍSMO. Confissão de Fé e Resumo Teológico Unoteísta: Fundamentos do Monoteísmo Bíblico sem Viés Religioso, 2026.</w:t>
      </w:r>
    </w:p>
    <w:p>
      <w:r>
        <w:br w:type="page"/>
      </w:r>
    </w:p>
    <w:p>
      <w:pPr>
        <w:spacing w:before="160" w:after="120" w:beforeAutospacing="0" w:afterAutospacing="0"/>
      </w:pPr>
      <w:r>
        <w:rPr>
          <w:rFonts w:ascii="Georgia" w:hAnsi="Georgia"/>
          <w:b w:val="1"/>
          <w:color w:val="1A202C"/>
          <w:sz w:val="28"/>
        </w:rPr>
        <w:t>Apêndice Técnico: Wikicódigo Pronto para Copiar e Colar</w:t>
      </w:r>
    </w:p>
    <w:p>
      <w:pPr>
        <w:spacing w:lineRule="auto" w:line="276" w:after="160" w:beforeAutospacing="0" w:afterAutospacing="0"/>
      </w:pPr>
      <w:r>
        <w:t xml:space="preserve">O bloco de código a seguir contém a formatação exata na sintaxe oficial da Wikipédia (MediaWiki / Wikitext). Para criar o artigo na Wikipédia, basta acessar </w:t>
      </w:r>
      <w:r>
        <w:rPr>
          <w:b w:val="1"/>
          <w:color w:val="0645AD"/>
        </w:rPr>
        <w:t>pt.wikipedia.org/wiki/Unoteísmo</w:t>
      </w:r>
      <w:r>
        <w:t>, clicar em «Criar fonte» (código-fonte) e colar o texto abaixo:</w:t>
      </w:r>
    </w:p>
    <w:tbl>
      <w:tblPr>
        <w:tblW w:w="0" w:type="auto"/>
        <w:jc w:val="center"/>
        <w:tblBorders>
          <w:top w:val="single" w:sz="6" w:space="0" w:shadow="0" w:frame="0" w:color="334155"/>
          <w:left w:val="single" w:sz="6" w:space="0" w:shadow="0" w:frame="0" w:color="334155"/>
          <w:bottom w:val="single" w:sz="6" w:space="0" w:shadow="0" w:frame="0" w:color="334155"/>
          <w:right w:val="single" w:sz="6" w:space="0" w:shadow="0" w:frame="0" w:color="334155"/>
          <w:insideH w:val="single" w:sz="6" w:space="0" w:shadow="0" w:frame="0" w:color="334155"/>
          <w:insideV w:val="single" w:sz="6" w:space="0" w:shadow="0" w:frame="0" w:color="334155"/>
        </w:tblBorders>
        <w:tblLook w:val="04A0"/>
      </w:tblPr>
      <w:tblGrid>
        <w:gridCol w:w="9461"/>
      </w:tblGrid>
      <w:tr>
        <w:tc>
          <w:tcPr>
            <w:tcW w:w="9461" w:type="dxa"/>
            <w:shd w:val="clear" w:color="auto" w:fill="0F172A"/>
            <w:tcMar>
              <w:top w:w="140" w:type="dxa"/>
              <w:left w:w="160" w:type="dxa"/>
              <w:bottom w:w="140" w:type="dxa"/>
              <w:right w:w="160" w:type="dxa"/>
            </w:tcMar>
          </w:tcPr>
          <w:p/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{{Info/Filosofia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 xml:space="preserve">| nome               = Unoteísmo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 xml:space="preserve">| imagem             = 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 xml:space="preserve">| legenda            = Símbolo representativo da verdade bíblica unoteísta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 xml:space="preserve">| região             = Lusofonia / Internacional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 xml:space="preserve">| época              = Século XXI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 xml:space="preserve">| corrente           = [[Monoteísmo]] Bíblico / Teologia Racional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 xml:space="preserve">| interesses         = [[Cristologia]], [[Teologia bíblica]], [[Filosofia da religião]], [[Hermenêutica]], Crítica textual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 xml:space="preserve">| ideias_notáveis    = Um só Deus Pai; Encarnação do Espírito de Deus no homem Jesus Cristo; Cânon de 69 Livros; Ausência de viés religioso institucional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 xml:space="preserve">| influências        = [[Escrituras Hebraicas]], [[Septuaginta]], [[Novo Testamento]], Manuscritos originais em Grego Koiné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 xml:space="preserve">| influenciados       = Movimento de retorno às fontes bíblicas e monoteísmo bíblico contemporâneo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}}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 xml:space="preserve"> 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O '''Unoteísmo''' é uma [[filosofia de vida]] e um sistema de pensamento teológico [[Monoteísmo|monoteísta]] fundamentado na busca e defesa incansável da verdade, operando de forma autônoma em relação a corporativismos eclesiásticos e dogmatismos clericais (definindo-se expressamente como ''sem viés religioso''). No campo doutrinário, postula a existência de um único Deus supremo e absoluto — o Pai —, que é puramente Espírito e fonte primária de todas as coisas, o qual se encarnou plenamente no homem histórico [[Jesus]] Cristo desde a sua concepção milagrosa no ventre de [[Maria (mãe de Jesus)|Maria]].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 xml:space="preserve"> 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A cristologia unoteísta sintetiza-se na máxima basilar: ''«Jesus é o Pai quanto ao Espírito e é o homem quanto à carne»''. Seu cânon sagrado é composto por 69 livros bíblicos (42 no Antigo Testamento e 27 no Novo Testamento).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 xml:space="preserve"> 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== Etimologia ==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O termo ''Unoteísmo'' compõe-se pela aglutinação do prefixo latino ''uno-'' (derivado de ''unus'', "único, singular, indivisível") com o radical grego ''theos'' ([[grego antigo]]: θεός, "Deus") e o sufixo ''-ismo'' (indicador de sistema, doutrina ou filosofia de vida).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 xml:space="preserve"> 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Numa leitura complementar, o vocábulo pode ser decomposto nas unidades '''UN''' (de "único"), '''O''' (de "Ontologia"), '''TE''' (de "Theos", Deus) e '''ISMO''' (de "crença" ou doutrina), que, lidas em ordem inversa, sintetizam a proposição nuclear do sistema: ''"crença no Deus ontologicamente único"'' — isto é, a crença de que Deus subsiste em uma só e única pessoa divina.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 xml:space="preserve"> 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Diferencia-se categoricamente de outras formulações: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* '''Do [[Trinitarianismo]]:''' Rejeita a divisão da divindade em três pessoas coeternas e coiguais. Deus Pai é a única pessoa e mente divina absoluta.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* '''Do [[Sabelianismo|Modalismo Sabeliano]]:''' Rejeita a tese de que Deus atua sob "máscaras" ou modos sucessivos temporários que se extinguem. Deus Pai permanece eternamente transcendente nos céus, enquanto Seu Espírito emanado encarna em Jesus de Nazaré.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* '''Do [[Arianismo]] e [[Socinianismo]]:''' Rejeita a concepção de que Jesus seja mero homem ou criatura angelical subordinada; afirma que a identidade divina que governa Jesus é o próprio Espírito eterno do Pai.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 xml:space="preserve"> 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== Pilares Filosóficos ==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O Unoteísmo orienta-se por quatro princípios essenciais: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# '''Busca e Defesa da Verdade:''' Compromisso racional e ético com a verdade que supera tradições humanas e não teme o exame filológico ou histórico.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# '''Sem Viés Religioso:''' Rejeição de monopólios clericais, sacerdócios corporativos e exploração financeira da fé (como a cobrança de dízimos rituais).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# '''Respostas Claras e Transparentes:''' Superação de dogmas paradoxais tidos como "mistérios inacessíveis", oferecendo respostas bíblicas diretas e lógicas sobre Deus, a fé e a existência.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# '''Filosofia Prática no Cotidiano:''' Vivência ética pautada pela honestidade, justiça, responsabilidade moral e respeito à consciência individual.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 xml:space="preserve"> 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== Teologia e Cristologia ==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=== Deus, o Pai ===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Há um só Deus, o Pai, que é Espírito ([[Evangelho segundo João|Jo]] 4:24) e fonte transcendente de todas as coisas. Não divide Sua soberania ou honra com nenhuma outra entidade.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 xml:space="preserve"> 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=== O Espírito Santo ===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O Espírito Santo não é uma terceira pessoa divina, mas o próprio Espírito, poder e presença emanada de Deus Pai. Ao encarnar em Jesus Cristo, esse mesmo Espírito passa a ser identificado como Espírito de Cristo ([[Epístola aos Romanos|Rm]] 8:9).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 xml:space="preserve"> 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=== Jesus Cristo: Filho do Homem e Filho de Deus ===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Jesus é denominado tanto Filho do Homem quanto Filho de Deus por critérios estritos: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* '''Filho do Homem:''' Porque é verdadeiramente homem, nascido de mulher ([[Epístola aos Gálatas|Gl]] 4:4), descendente de Davi e participante da humanidade.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* '''Filho de Deus:''' Porque seu Espírito é o próprio Espírito de Deus, emanado e enviado do céu da parte de Deus e reconhecido na figura humana.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 xml:space="preserve"> 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== Confissão de Fé Unoteísta ==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A Confissão de Fé fundamenta-se em doze artigos: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# Cremos em um só Deus, o Pai, que é Espírito e fonte de todas as coisas.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# Cremos em um só Espírito de Deus, o Espírito Santo, que procede do Pai, é enviado por Deus e manifesta a presença e a vontade de Deus.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# Cremos em Jesus Cristo, o Filho do Homem, o verdadeiro homem, nascido de mulher e gerado por Deus por meio do seu Espírito Santo.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# Cremos que o Espírito de Deus se encarnou em Jesus desde a sua concepção. Por isso, aquilo que foi gerado em Maria é do Espírito Santo e pertence a Ele.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# Cremos que o Espírito que estava em Jesus não era outro espírito nem um espírito independente de Deus, mas era o próprio Espírito de Deus, o Espírito do Pai.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# Cremos que, ao encarnar em Jesus, o Espírito de Deus passou a ser identificado como Espírito de Cristo.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# Cremos que Jesus é chamado Filho do Homem porque é verdadeiramente homem, nascido de mulher e participante da humanidade.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# Cremos que Jesus é chamado Filho de Deus porque nele encarnou o próprio Espírito de Deus, emanado e enviado do céu da parte do Pai que passa a ser conhecido na figura humana sendo, o messias, filho de davi, nosso Rei e vimos a sua gloria , gloria que na condição humana assume, como unigênito do Pai pois como homem herdou tudo ,recebeu todo poder e autoridade toda honra gloria e louvor.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# Cremos que a encarnação não é a divisão de Deus em pessoas distintas, mas o próprio Deus habitando corporalmente em um homem verdadeiro.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# Cremos que Jesus é o homem no qual o Pai se manifestou ao mundo, de modo que aquele que vê a Jesus vê o Pai operando nele.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# Cremos que Jesus é o Pai quanto ao Espírito que nele habita e que é o homem quanto à carne que assumiu.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# Cremos que a salvação consiste em conhecer o único Deus verdadeiro, o Pai, e a Jesus Cristo, o homem no qual o Espírito do Pai se manifestou.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 xml:space="preserve"> 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== Cânon Bíblico dos 69 Livros ==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O cânon unoteísta compõe-se de 69 livros sagrados: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* '''Antigo Testamento (42 livros):''' Inclui os 39 livros hebraicos clássicos e livros preservados na tradição da [[Septuaginta]] grega, mantendo o Livro do Profeta [[Livro de Daniel|Daniel]] com seus 14 capítulos completos (incluindo a História de Susana e Bel e o Dragão).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* '''Novo Testamento (27 livros):''' Compreende os quatro evangelhos canônicos, os Atos dos Apóstolos, o corpo epistolar apostólico e o Livro do [[Apocalipse]].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 xml:space="preserve"> 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== Comparação Teológica ==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{| class="wikitable" style="font-size:90%; width:100%;"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|- style="background:#1e293b; color:#ffffff;"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! Critério !! Trinitarianismo !! Modalismo !! Arianismo / Unitarianismo !! Unoteísmo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|-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| '''Deus''' || Três pessoas em uma substância || Uma pessoa em modos sucessivos || O Pai é Deus; Cristo é criatura || Um só Deus, o Pai, que encarna em Jesus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|-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| '''Jesus Cristo''' || Deus Filho encarnado (duas naturezas) || Manifestação transitória do Pai || Criatura primogênita ou profeta moral || Verdadeiro homem com o Espírito do Pai encarnado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|-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| '''Espírito Santo''' || Terceira pessoa da Trindade || Modo divino posterior || Força ativa impessoal de Deus || O próprio Espírito do Pai, emanado e enviado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|-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| '''Fórmula Central''' || Três pessoas em um só Deus || Pai = Filho = Espírito (modos) || Pai maior que o Filho (desigualdade) || Jesus é o Pai quanto ao Espírito e homem quanto à carne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|}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 xml:space="preserve"> 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== Ver também ==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* [[Monoteísmo]]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* [[Cristologia]]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* [[Septuaginta]]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* [[Filosofia da religião]]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 xml:space="preserve"> 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== Ligações externas ==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* [https://unoteismo.arthurlazarodesousasantos.workers.dev Portal Oficial do Unoteísmo e Bíblia Sagrada Online (69 Livros)]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* [https://unoteismo.arthurlazarodesousasantos.workers.dev/biblia Leitor da Bíblia Sagrada e Léxico Grego Bíblico]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 xml:space="preserve"> 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[[Categoria:Filosofia da religião]]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[[Categoria:Teologia cristã]]</w:t>
            </w:r>
          </w:p>
          <w:p>
            <w:pPr>
              <w:spacing w:lineRule="auto" w:line="252" w:after="20" w:beforeAutospacing="0" w:afterAutospacing="0"/>
            </w:pPr>
            <w:r>
              <w:rPr>
                <w:rFonts w:ascii="Consolas" w:hAnsi="Consolas"/>
                <w:color w:val="E2E8F0"/>
                <w:sz w:val="16"/>
              </w:rPr>
              <w:t>[[Categoria:Monoteísmo]]</w:t>
            </w:r>
          </w:p>
        </w:tc>
      </w:tr>
    </w:tbl>
    <w:p/>
    <w:sectPr>
      <w:type w:val="nextPage"/>
      <w:pgSz w:w="11909" w:h="16834" w:code="0"/>
      <w:pgMar w:left="1224" w:right="1224" w:top="1224" w:bottom="1224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56F7DA7D">
      <w:start w:val="1"/>
      <w:numFmt w:val="decimal"/>
      <w:suff w:val="tab"/>
      <w:lvlText w:val="%1."/>
      <w:lvlJc w:val="left"/>
      <w:pPr/>
      <w:rPr/>
    </w:lvl>
    <w:lvl w:ilvl="2" w:tplc="2A60BC16">
      <w:start w:val="1"/>
      <w:numFmt w:val="decimal"/>
      <w:suff w:val="tab"/>
      <w:lvlText w:val="%1."/>
      <w:lvlJc w:val="left"/>
      <w:pPr/>
      <w:rPr/>
    </w:lvl>
    <w:lvl w:ilvl="3" w:tplc="268B3D57">
      <w:start w:val="1"/>
      <w:numFmt w:val="decimal"/>
      <w:suff w:val="tab"/>
      <w:lvlText w:val="%1."/>
      <w:lvlJc w:val="left"/>
      <w:pPr/>
      <w:rPr/>
    </w:lvl>
    <w:lvl w:ilvl="4" w:tplc="25313103">
      <w:start w:val="1"/>
      <w:numFmt w:val="decimal"/>
      <w:suff w:val="tab"/>
      <w:lvlText w:val="%1."/>
      <w:lvlJc w:val="left"/>
      <w:pPr/>
      <w:rPr/>
    </w:lvl>
    <w:lvl w:ilvl="5" w:tplc="08B47736">
      <w:start w:val="1"/>
      <w:numFmt w:val="decimal"/>
      <w:suff w:val="tab"/>
      <w:lvlText w:val="%1."/>
      <w:lvlJc w:val="left"/>
      <w:pPr/>
      <w:rPr/>
    </w:lvl>
    <w:lvl w:ilvl="6" w:tplc="5B014353">
      <w:start w:val="1"/>
      <w:numFmt w:val="decimal"/>
      <w:suff w:val="tab"/>
      <w:lvlText w:val="%1."/>
      <w:lvlJc w:val="left"/>
      <w:pPr/>
      <w:rPr/>
    </w:lvl>
    <w:lvl w:ilvl="7" w:tplc="414671D1">
      <w:start w:val="1"/>
      <w:numFmt w:val="decimal"/>
      <w:suff w:val="tab"/>
      <w:lvlText w:val="%1."/>
      <w:lvlJc w:val="left"/>
      <w:pPr/>
      <w:rPr/>
    </w:lvl>
    <w:lvl w:ilvl="8" w:tplc="0F8DD1B0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19C40990">
      <w:start w:val="1"/>
      <w:numFmt w:val="decimal"/>
      <w:suff w:val="tab"/>
      <w:lvlText w:val="%1."/>
      <w:lvlJc w:val="left"/>
      <w:pPr/>
      <w:rPr/>
    </w:lvl>
    <w:lvl w:ilvl="2" w:tplc="4B6EE4A3">
      <w:start w:val="1"/>
      <w:numFmt w:val="decimal"/>
      <w:suff w:val="tab"/>
      <w:lvlText w:val="%1."/>
      <w:lvlJc w:val="left"/>
      <w:pPr/>
      <w:rPr/>
    </w:lvl>
    <w:lvl w:ilvl="3" w:tplc="064D6FEF">
      <w:start w:val="1"/>
      <w:numFmt w:val="decimal"/>
      <w:suff w:val="tab"/>
      <w:lvlText w:val="%1."/>
      <w:lvlJc w:val="left"/>
      <w:pPr/>
      <w:rPr/>
    </w:lvl>
    <w:lvl w:ilvl="4" w:tplc="556C5D7D">
      <w:start w:val="1"/>
      <w:numFmt w:val="decimal"/>
      <w:suff w:val="tab"/>
      <w:lvlText w:val="%1."/>
      <w:lvlJc w:val="left"/>
      <w:pPr/>
      <w:rPr/>
    </w:lvl>
    <w:lvl w:ilvl="5" w:tplc="0B5E1F52">
      <w:start w:val="1"/>
      <w:numFmt w:val="decimal"/>
      <w:suff w:val="tab"/>
      <w:lvlText w:val="%1."/>
      <w:lvlJc w:val="left"/>
      <w:pPr/>
      <w:rPr/>
    </w:lvl>
    <w:lvl w:ilvl="6" w:tplc="52076955">
      <w:start w:val="1"/>
      <w:numFmt w:val="decimal"/>
      <w:suff w:val="tab"/>
      <w:lvlText w:val="%1."/>
      <w:lvlJc w:val="left"/>
      <w:pPr/>
      <w:rPr/>
    </w:lvl>
    <w:lvl w:ilvl="7" w:tplc="7F2E9D59">
      <w:start w:val="1"/>
      <w:numFmt w:val="decimal"/>
      <w:suff w:val="tab"/>
      <w:lvlText w:val="%1."/>
      <w:lvlJc w:val="left"/>
      <w:pPr/>
      <w:rPr/>
    </w:lvl>
    <w:lvl w:ilvl="8" w:tplc="5997D32C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68CB309D">
      <w:start w:val="1"/>
      <w:numFmt w:val="decimal"/>
      <w:suff w:val="tab"/>
      <w:lvlText w:val="%1."/>
      <w:lvlJc w:val="left"/>
      <w:pPr/>
      <w:rPr/>
    </w:lvl>
    <w:lvl w:ilvl="2" w:tplc="51101399">
      <w:start w:val="1"/>
      <w:numFmt w:val="decimal"/>
      <w:suff w:val="tab"/>
      <w:lvlText w:val="%1."/>
      <w:lvlJc w:val="left"/>
      <w:pPr/>
      <w:rPr/>
    </w:lvl>
    <w:lvl w:ilvl="3" w:tplc="3EAC36FC">
      <w:start w:val="1"/>
      <w:numFmt w:val="decimal"/>
      <w:suff w:val="tab"/>
      <w:lvlText w:val="%1."/>
      <w:lvlJc w:val="left"/>
      <w:pPr/>
      <w:rPr/>
    </w:lvl>
    <w:lvl w:ilvl="4" w:tplc="78CD2710">
      <w:start w:val="1"/>
      <w:numFmt w:val="decimal"/>
      <w:suff w:val="tab"/>
      <w:lvlText w:val="%1."/>
      <w:lvlJc w:val="left"/>
      <w:pPr/>
      <w:rPr/>
    </w:lvl>
    <w:lvl w:ilvl="5" w:tplc="6E5DFA52">
      <w:start w:val="1"/>
      <w:numFmt w:val="decimal"/>
      <w:suff w:val="tab"/>
      <w:lvlText w:val="%1."/>
      <w:lvlJc w:val="left"/>
      <w:pPr/>
      <w:rPr/>
    </w:lvl>
    <w:lvl w:ilvl="6" w:tplc="080AA7DC">
      <w:start w:val="1"/>
      <w:numFmt w:val="decimal"/>
      <w:suff w:val="tab"/>
      <w:lvlText w:val="%1."/>
      <w:lvlJc w:val="left"/>
      <w:pPr/>
      <w:rPr/>
    </w:lvl>
    <w:lvl w:ilvl="7" w:tplc="01661291">
      <w:start w:val="1"/>
      <w:numFmt w:val="decimal"/>
      <w:suff w:val="tab"/>
      <w:lvlText w:val="%1."/>
      <w:lvlJc w:val="left"/>
      <w:pPr/>
      <w:rPr/>
    </w:lvl>
    <w:lvl w:ilvl="8" w:tplc="046F9EC9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68019080">
      <w:start w:val="1"/>
      <w:numFmt w:val="decimal"/>
      <w:suff w:val="tab"/>
      <w:lvlText w:val="%1."/>
      <w:lvlJc w:val="left"/>
      <w:pPr/>
      <w:rPr/>
    </w:lvl>
    <w:lvl w:ilvl="2" w:tplc="34E15212">
      <w:start w:val="1"/>
      <w:numFmt w:val="decimal"/>
      <w:suff w:val="tab"/>
      <w:lvlText w:val="%1."/>
      <w:lvlJc w:val="left"/>
      <w:pPr/>
      <w:rPr/>
    </w:lvl>
    <w:lvl w:ilvl="3" w:tplc="7DC24755">
      <w:start w:val="1"/>
      <w:numFmt w:val="decimal"/>
      <w:suff w:val="tab"/>
      <w:lvlText w:val="%1."/>
      <w:lvlJc w:val="left"/>
      <w:pPr/>
      <w:rPr/>
    </w:lvl>
    <w:lvl w:ilvl="4" w:tplc="17688C33">
      <w:start w:val="1"/>
      <w:numFmt w:val="decimal"/>
      <w:suff w:val="tab"/>
      <w:lvlText w:val="%1."/>
      <w:lvlJc w:val="left"/>
      <w:pPr/>
      <w:rPr/>
    </w:lvl>
    <w:lvl w:ilvl="5" w:tplc="43D691AE">
      <w:start w:val="1"/>
      <w:numFmt w:val="decimal"/>
      <w:suff w:val="tab"/>
      <w:lvlText w:val="%1."/>
      <w:lvlJc w:val="left"/>
      <w:pPr/>
      <w:rPr/>
    </w:lvl>
    <w:lvl w:ilvl="6" w:tplc="615063F7">
      <w:start w:val="1"/>
      <w:numFmt w:val="decimal"/>
      <w:suff w:val="tab"/>
      <w:lvlText w:val="%1."/>
      <w:lvlJc w:val="left"/>
      <w:pPr/>
      <w:rPr/>
    </w:lvl>
    <w:lvl w:ilvl="7" w:tplc="28118EFD">
      <w:start w:val="1"/>
      <w:numFmt w:val="decimal"/>
      <w:suff w:val="tab"/>
      <w:lvlText w:val="%1."/>
      <w:lvlJc w:val="left"/>
      <w:pPr/>
      <w:rPr/>
    </w:lvl>
    <w:lvl w:ilvl="8" w:tplc="7CE2FB9A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7804CBA5">
      <w:start w:val="1"/>
      <w:numFmt w:val="decimal"/>
      <w:suff w:val="tab"/>
      <w:lvlText w:val="%1."/>
      <w:lvlJc w:val="left"/>
      <w:pPr/>
      <w:rPr/>
    </w:lvl>
    <w:lvl w:ilvl="2" w:tplc="0B6679C2">
      <w:start w:val="1"/>
      <w:numFmt w:val="decimal"/>
      <w:suff w:val="tab"/>
      <w:lvlText w:val="%1."/>
      <w:lvlJc w:val="left"/>
      <w:pPr/>
      <w:rPr/>
    </w:lvl>
    <w:lvl w:ilvl="3" w:tplc="47FFA002">
      <w:start w:val="1"/>
      <w:numFmt w:val="decimal"/>
      <w:suff w:val="tab"/>
      <w:lvlText w:val="%1."/>
      <w:lvlJc w:val="left"/>
      <w:pPr/>
      <w:rPr/>
    </w:lvl>
    <w:lvl w:ilvl="4" w:tplc="169BD7B1">
      <w:start w:val="1"/>
      <w:numFmt w:val="decimal"/>
      <w:suff w:val="tab"/>
      <w:lvlText w:val="%1."/>
      <w:lvlJc w:val="left"/>
      <w:pPr/>
      <w:rPr/>
    </w:lvl>
    <w:lvl w:ilvl="5" w:tplc="6D9DCAFD">
      <w:start w:val="1"/>
      <w:numFmt w:val="decimal"/>
      <w:suff w:val="tab"/>
      <w:lvlText w:val="%1."/>
      <w:lvlJc w:val="left"/>
      <w:pPr/>
      <w:rPr/>
    </w:lvl>
    <w:lvl w:ilvl="6" w:tplc="12DC7D71">
      <w:start w:val="1"/>
      <w:numFmt w:val="decimal"/>
      <w:suff w:val="tab"/>
      <w:lvlText w:val="%1."/>
      <w:lvlJc w:val="left"/>
      <w:pPr/>
      <w:rPr/>
    </w:lvl>
    <w:lvl w:ilvl="7" w:tplc="382926AC">
      <w:start w:val="1"/>
      <w:numFmt w:val="decimal"/>
      <w:suff w:val="tab"/>
      <w:lvlText w:val="%1."/>
      <w:lvlJc w:val="left"/>
      <w:pPr/>
      <w:rPr/>
    </w:lvl>
    <w:lvl w:ilvl="8" w:tplc="004E3E0E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506F1FFC">
      <w:start w:val="1"/>
      <w:numFmt w:val="decimal"/>
      <w:suff w:val="tab"/>
      <w:lvlText w:val="%1."/>
      <w:lvlJc w:val="left"/>
      <w:pPr/>
      <w:rPr/>
    </w:lvl>
    <w:lvl w:ilvl="2" w:tplc="13E20673">
      <w:start w:val="1"/>
      <w:numFmt w:val="decimal"/>
      <w:suff w:val="tab"/>
      <w:lvlText w:val="%1."/>
      <w:lvlJc w:val="left"/>
      <w:pPr/>
      <w:rPr/>
    </w:lvl>
    <w:lvl w:ilvl="3" w:tplc="5D0A14A1">
      <w:start w:val="1"/>
      <w:numFmt w:val="decimal"/>
      <w:suff w:val="tab"/>
      <w:lvlText w:val="%1."/>
      <w:lvlJc w:val="left"/>
      <w:pPr/>
      <w:rPr/>
    </w:lvl>
    <w:lvl w:ilvl="4" w:tplc="24B248DA">
      <w:start w:val="1"/>
      <w:numFmt w:val="decimal"/>
      <w:suff w:val="tab"/>
      <w:lvlText w:val="%1."/>
      <w:lvlJc w:val="left"/>
      <w:pPr/>
      <w:rPr/>
    </w:lvl>
    <w:lvl w:ilvl="5" w:tplc="3605E1D1">
      <w:start w:val="1"/>
      <w:numFmt w:val="decimal"/>
      <w:suff w:val="tab"/>
      <w:lvlText w:val="%1."/>
      <w:lvlJc w:val="left"/>
      <w:pPr/>
      <w:rPr/>
    </w:lvl>
    <w:lvl w:ilvl="6" w:tplc="2DBBDE3F">
      <w:start w:val="1"/>
      <w:numFmt w:val="decimal"/>
      <w:suff w:val="tab"/>
      <w:lvlText w:val="%1."/>
      <w:lvlJc w:val="left"/>
      <w:pPr/>
      <w:rPr/>
    </w:lvl>
    <w:lvl w:ilvl="7" w:tplc="3246B6FF">
      <w:start w:val="1"/>
      <w:numFmt w:val="decimal"/>
      <w:suff w:val="tab"/>
      <w:lvlText w:val="%1."/>
      <w:lvlJc w:val="left"/>
      <w:pPr/>
      <w:rPr/>
    </w:lvl>
    <w:lvl w:ilvl="8" w:tplc="3FAC0B3C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0C51837F">
      <w:start w:val="1"/>
      <w:numFmt w:val="decimal"/>
      <w:suff w:val="tab"/>
      <w:lvlText w:val="%1."/>
      <w:lvlJc w:val="left"/>
      <w:pPr/>
      <w:rPr/>
    </w:lvl>
    <w:lvl w:ilvl="2" w:tplc="196EBF5A">
      <w:start w:val="1"/>
      <w:numFmt w:val="decimal"/>
      <w:suff w:val="tab"/>
      <w:lvlText w:val="%1."/>
      <w:lvlJc w:val="left"/>
      <w:pPr/>
      <w:rPr/>
    </w:lvl>
    <w:lvl w:ilvl="3" w:tplc="609AE2B8">
      <w:start w:val="1"/>
      <w:numFmt w:val="decimal"/>
      <w:suff w:val="tab"/>
      <w:lvlText w:val="%1."/>
      <w:lvlJc w:val="left"/>
      <w:pPr/>
      <w:rPr/>
    </w:lvl>
    <w:lvl w:ilvl="4" w:tplc="2DA26198">
      <w:start w:val="1"/>
      <w:numFmt w:val="decimal"/>
      <w:suff w:val="tab"/>
      <w:lvlText w:val="%1."/>
      <w:lvlJc w:val="left"/>
      <w:pPr/>
      <w:rPr/>
    </w:lvl>
    <w:lvl w:ilvl="5" w:tplc="1B332837">
      <w:start w:val="1"/>
      <w:numFmt w:val="decimal"/>
      <w:suff w:val="tab"/>
      <w:lvlText w:val="%1."/>
      <w:lvlJc w:val="left"/>
      <w:pPr/>
      <w:rPr/>
    </w:lvl>
    <w:lvl w:ilvl="6" w:tplc="3978D4A3">
      <w:start w:val="1"/>
      <w:numFmt w:val="decimal"/>
      <w:suff w:val="tab"/>
      <w:lvlText w:val="%1."/>
      <w:lvlJc w:val="left"/>
      <w:pPr/>
      <w:rPr/>
    </w:lvl>
    <w:lvl w:ilvl="7" w:tplc="2049C978">
      <w:start w:val="1"/>
      <w:numFmt w:val="decimal"/>
      <w:suff w:val="tab"/>
      <w:lvlText w:val="%1."/>
      <w:lvlJc w:val="left"/>
      <w:pPr/>
      <w:rPr/>
    </w:lvl>
    <w:lvl w:ilvl="8" w:tplc="3B05F9AB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049C5905">
      <w:start w:val="1"/>
      <w:numFmt w:val="decimal"/>
      <w:suff w:val="tab"/>
      <w:lvlText w:val="%1."/>
      <w:lvlJc w:val="left"/>
      <w:pPr/>
      <w:rPr/>
    </w:lvl>
    <w:lvl w:ilvl="2" w:tplc="06419C17">
      <w:start w:val="1"/>
      <w:numFmt w:val="decimal"/>
      <w:suff w:val="tab"/>
      <w:lvlText w:val="%1."/>
      <w:lvlJc w:val="left"/>
      <w:pPr/>
      <w:rPr/>
    </w:lvl>
    <w:lvl w:ilvl="3" w:tplc="7D07084E">
      <w:start w:val="1"/>
      <w:numFmt w:val="decimal"/>
      <w:suff w:val="tab"/>
      <w:lvlText w:val="%1."/>
      <w:lvlJc w:val="left"/>
      <w:pPr/>
      <w:rPr/>
    </w:lvl>
    <w:lvl w:ilvl="4" w:tplc="41286127">
      <w:start w:val="1"/>
      <w:numFmt w:val="decimal"/>
      <w:suff w:val="tab"/>
      <w:lvlText w:val="%1."/>
      <w:lvlJc w:val="left"/>
      <w:pPr/>
      <w:rPr/>
    </w:lvl>
    <w:lvl w:ilvl="5" w:tplc="114DD593">
      <w:start w:val="1"/>
      <w:numFmt w:val="decimal"/>
      <w:suff w:val="tab"/>
      <w:lvlText w:val="%1."/>
      <w:lvlJc w:val="left"/>
      <w:pPr/>
      <w:rPr/>
    </w:lvl>
    <w:lvl w:ilvl="6" w:tplc="64D8D8CE">
      <w:start w:val="1"/>
      <w:numFmt w:val="decimal"/>
      <w:suff w:val="tab"/>
      <w:lvlText w:val="%1."/>
      <w:lvlJc w:val="left"/>
      <w:pPr/>
      <w:rPr/>
    </w:lvl>
    <w:lvl w:ilvl="7" w:tplc="6A3A0650">
      <w:start w:val="1"/>
      <w:numFmt w:val="decimal"/>
      <w:suff w:val="tab"/>
      <w:lvlText w:val="%1."/>
      <w:lvlJc w:val="left"/>
      <w:pPr/>
      <w:rPr/>
    </w:lvl>
    <w:lvl w:ilvl="8" w:tplc="1E5B338E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0598B95C">
      <w:start w:val="1"/>
      <w:numFmt w:val="decimal"/>
      <w:suff w:val="tab"/>
      <w:lvlText w:val="%1."/>
      <w:lvlJc w:val="left"/>
      <w:pPr/>
      <w:rPr/>
    </w:lvl>
    <w:lvl w:ilvl="2" w:tplc="07FBCAB7">
      <w:start w:val="1"/>
      <w:numFmt w:val="decimal"/>
      <w:suff w:val="tab"/>
      <w:lvlText w:val="%1."/>
      <w:lvlJc w:val="left"/>
      <w:pPr/>
      <w:rPr/>
    </w:lvl>
    <w:lvl w:ilvl="3" w:tplc="33DA6E51">
      <w:start w:val="1"/>
      <w:numFmt w:val="decimal"/>
      <w:suff w:val="tab"/>
      <w:lvlText w:val="%1."/>
      <w:lvlJc w:val="left"/>
      <w:pPr/>
      <w:rPr/>
    </w:lvl>
    <w:lvl w:ilvl="4" w:tplc="6B8FD342">
      <w:start w:val="1"/>
      <w:numFmt w:val="decimal"/>
      <w:suff w:val="tab"/>
      <w:lvlText w:val="%1."/>
      <w:lvlJc w:val="left"/>
      <w:pPr/>
      <w:rPr/>
    </w:lvl>
    <w:lvl w:ilvl="5" w:tplc="2C09BFE1">
      <w:start w:val="1"/>
      <w:numFmt w:val="decimal"/>
      <w:suff w:val="tab"/>
      <w:lvlText w:val="%1."/>
      <w:lvlJc w:val="left"/>
      <w:pPr/>
      <w:rPr/>
    </w:lvl>
    <w:lvl w:ilvl="6" w:tplc="32F323BE">
      <w:start w:val="1"/>
      <w:numFmt w:val="decimal"/>
      <w:suff w:val="tab"/>
      <w:lvlText w:val="%1."/>
      <w:lvlJc w:val="left"/>
      <w:pPr/>
      <w:rPr/>
    </w:lvl>
    <w:lvl w:ilvl="7" w:tplc="13AD571D">
      <w:start w:val="1"/>
      <w:numFmt w:val="decimal"/>
      <w:suff w:val="tab"/>
      <w:lvlText w:val="%1."/>
      <w:lvlJc w:val="left"/>
      <w:pPr/>
      <w:rPr/>
    </w:lvl>
    <w:lvl w:ilvl="8" w:tplc="7A478116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rFonts w:ascii="Calibri" w:hAnsi="Calibri"/>
      <w:color w:val="282C34"/>
      <w:sz w:val="21"/>
    </w:rPr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2013-12-23T23:15:00Z</dcterms:created>
  <dc:description>generated by python-docx</dc:description>
  <dcterms:modified xsi:type="dcterms:W3CDTF">2026-09-27T08:08:09Z</dcterms:modified>
  <cp:revision>1</cp:revision>
</cp:coreProperties>
</file>