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A78D6"/>
          <w:sz w:val="44"/>
        </w:rPr>
        <w:t>Exploratory Data Analysis Report</w:t>
      </w:r>
    </w:p>
    <w:p>
      <w:r>
        <w:rPr>
          <w:color w:val="555555"/>
          <w:sz w:val="22"/>
        </w:rPr>
        <w:t>Patient, clinical, operational, financial and patient-experience analysis</w:t>
      </w:r>
    </w:p>
    <w:p>
      <w:r>
        <w:rPr>
          <w:i/>
          <w:sz w:val="18"/>
        </w:rPr>
        <w:t>HealthConnect Rwanda · AnalystLab Africa Experience Lab, Week 6 · Track 2: Healthcare Predictive Analytics and Population Health Intelligence</w:t>
      </w:r>
    </w:p>
    <w:p>
      <w:pPr>
        <w:pStyle w:val="Heading1"/>
      </w:pPr>
      <w:r>
        <w:t>1. Summary</w:t>
      </w:r>
    </w:p>
    <w:p>
      <w:pPr>
        <w:pStyle w:val="ListBullet"/>
        <w:spacing w:after="40"/>
      </w:pPr>
      <w:r>
        <w:t>20,000 patients; mean age 45.0; 10,090 male and 9,910 female; 74.6% have a chronic condition; 33.3% meet the high-risk rule.</w:t>
      </w:r>
    </w:p>
    <w:p>
      <w:pPr>
        <w:pStyle w:val="ListBullet"/>
        <w:spacing w:after="40"/>
      </w:pPr>
      <w:r>
        <w:t>Patients are spread evenly over the five provinces (Western 4,091; Northern 3,923) and every patient has insurance.</w:t>
      </w:r>
    </w:p>
    <w:p>
      <w:pPr>
        <w:pStyle w:val="ListBullet"/>
        <w:spacing w:after="40"/>
      </w:pPr>
      <w:r>
        <w:t>Clinical: five diagnoses are almost equally common (about 12,000 each) and severity is split evenly across Mild/Moderate/Severe. Admission rate 11.7% (586 of 5,000), mean length of stay 5.5 days, referral rate 8.3%.</w:t>
      </w:r>
    </w:p>
    <w:p>
      <w:pPr>
        <w:pStyle w:val="ListBullet"/>
        <w:spacing w:after="40"/>
      </w:pPr>
      <w:r>
        <w:t>Financial: 9.31 bn RWF billed, 8.39 bn paid, 0.92 bn outstanding (0.1%). Claim approval is 50%; payment methods are evenly split.</w:t>
      </w:r>
    </w:p>
    <w:p>
      <w:pPr>
        <w:pStyle w:val="ListBullet"/>
        <w:spacing w:after="40"/>
      </w:pPr>
      <w:r>
        <w:t>Experience: mean rating 2.99/5 with ratings spread evenly from 1 to 5; 40% rate 1–2. Feedback exists for 35% of bills.</w:t>
      </w:r>
    </w:p>
    <w:p>
      <w:pPr>
        <w:pStyle w:val="ListBullet"/>
        <w:spacing w:after="40"/>
      </w:pPr>
      <w:r>
        <w:t>A recurring theme: categories are almost uniformly distributed, so the data behave as if generated at random. Differences between groups, facilities and departments are small and mostly within chance variation.</w:t>
      </w:r>
    </w:p>
    <w:p>
      <w:pPr>
        <w:pStyle w:val="Heading1"/>
      </w:pPr>
      <w:r>
        <w:t>2. Patient analysis (demographics, geography, insurance, growth)</w:t>
      </w:r>
    </w:p>
    <w:p>
      <w:pPr>
        <w:pStyle w:val="Heading3"/>
      </w:pPr>
      <w:r>
        <w:t>Figure 01. Who are HealthConnect's patients?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5541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_patient_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54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02. Age pyramid of registered patients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9181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_age_pyram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918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03. Chronic-disease prevalence by age group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237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_chronic_by_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7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04. Patients by insurance code (INS001–INS015)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4082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insur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08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05. Patients by province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2532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_geograph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5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06. Cumulative unique patients seen (growth proxy)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4082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patient_grow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08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Clinical analysis (diagnoses, labs, prescriptions, admissions, referrals)</w:t>
      </w:r>
    </w:p>
    <w:p>
      <w:pPr>
        <w:pStyle w:val="Heading3"/>
      </w:pPr>
      <w:r>
        <w:t>Figure 07. Diagnosis frequency (60,000 diagnoses)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1704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_diagno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7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08. Laboratory test volume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2416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8_labs_r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41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09. Monthly admission and referral rate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0892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_admissions_referra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89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Operational analysis (staff workload, facility utilisation, capacity)</w:t>
      </w:r>
    </w:p>
    <w:p>
      <w:pPr>
        <w:pStyle w:val="Heading3"/>
      </w:pPr>
      <w:r>
        <w:t>Figure 10. Appointments per doctor (350 doctors)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1694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_staff_workloa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69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11. Facility utilisation: appointments by facility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2563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_facility_utilis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5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12. Bed occupancy – lower-bound estimate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1844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_capac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8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Financial analysis (revenue, billing, claims, payments)</w:t>
      </w:r>
    </w:p>
    <w:p>
      <w:pPr>
        <w:pStyle w:val="Heading3"/>
      </w:pPr>
      <w:r>
        <w:t>Figure 13. Monthly revenue (Revenue_Summary)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99470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3_revenue_tren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94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14. Billing amount distribution (60,000 bills)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663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4_billing_claims_paymen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66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15. Billed revenue by department type (5,000-appointment cohort)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1771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5_revenue_by_un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7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Patient experience analysis (satisfaction)</w:t>
      </w:r>
    </w:p>
    <w:p>
      <w:pPr>
        <w:pStyle w:val="Heading3"/>
      </w:pPr>
      <w:r>
        <w:t>Figure 16. Satisfaction rating distribution (21,064)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0331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6_satisfac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33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17. Mean satisfaction by facility (95% CI)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68318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7_satisfaction_comparis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8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Engineered features</w:t>
      </w:r>
    </w:p>
    <w:p>
      <w:pPr>
        <w:spacing w:after="120"/>
      </w:pPr>
      <w:r>
        <w:rPr>
          <w:b w:val="0"/>
          <w:i w:val="0"/>
        </w:rPr>
        <w:t>Ten features were created and saved in the integrated datasets:</w:t>
      </w:r>
    </w:p>
    <w:p>
      <w:pPr>
        <w:pStyle w:val="ListBullet"/>
        <w:spacing w:after="40"/>
      </w:pPr>
      <w:r>
        <w:t>Age group (7 bands) and BMI category</w:t>
      </w:r>
    </w:p>
    <w:p>
      <w:pPr>
        <w:pStyle w:val="ListBullet"/>
        <w:spacing w:after="40"/>
      </w:pPr>
      <w:r>
        <w:t>Chronic-disease flag and number of conditions</w:t>
      </w:r>
    </w:p>
    <w:p>
      <w:pPr>
        <w:pStyle w:val="ListBullet"/>
        <w:spacing w:after="40"/>
      </w:pPr>
      <w:r>
        <w:t>Clinical risk score and high-risk flag (65+/50–64 with chronic disease, obesity or underweight)</w:t>
      </w:r>
    </w:p>
    <w:p>
      <w:pPr>
        <w:pStyle w:val="ListBullet"/>
        <w:spacing w:after="40"/>
      </w:pPr>
      <w:r>
        <w:t>Visit frequency and recency (days since last appointment)</w:t>
      </w:r>
    </w:p>
    <w:p>
      <w:pPr>
        <w:pStyle w:val="ListBullet"/>
        <w:spacing w:after="40"/>
      </w:pPr>
      <w:r>
        <w:t>Length of stay and admission flag</w:t>
      </w:r>
    </w:p>
    <w:p>
      <w:pPr>
        <w:pStyle w:val="ListBullet"/>
        <w:spacing w:after="40"/>
      </w:pPr>
      <w:r>
        <w:t>Bill amount per visit, payment ratio and outstanding balance</w:t>
      </w:r>
    </w:p>
    <w:p>
      <w:pPr>
        <w:pStyle w:val="ListBullet"/>
        <w:spacing w:after="40"/>
      </w:pPr>
      <w:r>
        <w:t>Claim coverage ratio (claim amount ÷ bill)</w:t>
      </w:r>
    </w:p>
    <w:p>
      <w:pPr>
        <w:pStyle w:val="ListBullet"/>
        <w:spacing w:after="40"/>
      </w:pPr>
      <w:r>
        <w:t>Doctor workload (appointments per clinician) and department workload index</w:t>
      </w:r>
    </w:p>
    <w:p>
      <w:pPr>
        <w:pStyle w:val="ListBullet"/>
        <w:spacing w:after="40"/>
      </w:pPr>
      <w:r>
        <w:t>Facility performance score (0–100: 35% satisfaction, 30% collection rate, 15% claim approval, 20% load per clinician)</w:t>
      </w:r>
    </w:p>
    <w:p>
      <w:pPr>
        <w:pStyle w:val="ListBullet"/>
        <w:spacing w:after="40"/>
      </w:pPr>
      <w:r>
        <w:t>Satisfaction group (poor 1–2, neutral 3, good 4–5)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A78D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A78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A78D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