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78D6"/>
          <w:sz w:val="44"/>
        </w:rPr>
        <w:t>Statistical Analysis Report</w:t>
      </w:r>
    </w:p>
    <w:p>
      <w:r>
        <w:rPr>
          <w:color w:val="555555"/>
          <w:sz w:val="22"/>
        </w:rPr>
        <w:t>Descriptive statistics, correlations and hypothesis tests</w:t>
      </w:r>
    </w:p>
    <w:p>
      <w:r>
        <w:rPr>
          <w:i/>
          <w:sz w:val="18"/>
        </w:rPr>
        <w:t>HealthConnect Rwanda · AnalystLab Africa Experience Lab, Week 6 · Track 2: Healthcare Predictive Analytics and Population Health Intelligence</w:t>
      </w:r>
    </w:p>
    <w:p>
      <w:pPr>
        <w:pStyle w:val="Heading1"/>
      </w:pPr>
      <w:r>
        <w:t>1. Summary</w:t>
      </w:r>
    </w:p>
    <w:p>
      <w:pPr>
        <w:pStyle w:val="ListBullet"/>
        <w:spacing w:after="40"/>
      </w:pPr>
      <w:r>
        <w:t>15 hypothesis tests were run at α = 0.05; 0 rejected the null hypothesis, also after Holm correction for multiple testing.</w:t>
      </w:r>
    </w:p>
    <w:p>
      <w:pPr>
        <w:pStyle w:val="ListBullet"/>
        <w:spacing w:after="40"/>
      </w:pPr>
      <w:r>
        <w:t>Of 26 candidate admission factors screened, 0 remained significant after correction.</w:t>
      </w:r>
    </w:p>
    <w:p>
      <w:pPr>
        <w:pStyle w:val="ListBullet"/>
        <w:spacing w:after="40"/>
      </w:pPr>
      <w:r>
        <w:t>Eleven correlation pairs were examined. The only strong, significant association is facility billed revenue ↔ appointment count (r = 0.90), which is arithmetic: more visits means more bills.</w:t>
      </w:r>
    </w:p>
    <w:p>
      <w:pPr>
        <w:pStyle w:val="ListBullet"/>
        <w:spacing w:after="40"/>
      </w:pPr>
      <w:r>
        <w:t>Interpretation: apart from mechanical links (BMI from height and weight, revenue from volume), recorded variables are statistically independent. This is a data finding as much as a statistical one.</w:t>
      </w:r>
    </w:p>
    <w:p>
      <w:pPr>
        <w:pStyle w:val="Heading1"/>
      </w:pPr>
      <w:r>
        <w:t>2. Descriptive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Mean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Mode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Std Dev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Variance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P5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P10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Q1 (P25)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Q3 (P75)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P90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P95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P99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Max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IQR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Skewness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Excess kurtosis</w:t>
            </w:r>
          </w:p>
        </w:tc>
        <w:tc>
          <w:tcPr>
            <w:tcW w:type="dxa" w:w="475"/>
            <w:shd w:val="clear" w:color="auto" w:fill="2A78D6"/>
          </w:tcPr>
          <w:p>
            <w:r/>
            <w:r>
              <w:rPr>
                <w:b/>
                <w:color w:val="FFFFFF"/>
                <w:sz w:val="14"/>
              </w:rPr>
              <w:t>CV %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Patient age (years)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Patients (20,000)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45.03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26.26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689.64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0.00531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-1.19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58.31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BMI (kg/m²)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Patients (20,000)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30.04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29.20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10.43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108.70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11.10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17.10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21.70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36.90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44.60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49.30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56.10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61.20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15.20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0.458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-0.39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34.70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Height (cm)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Patients (20,000)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164.90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165.00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14.79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218.75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178.00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185.00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188.00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190.00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190.00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0.0164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-1.22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8.97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Weight (kg)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Patients (20,000)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79.76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23.38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546.62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47.00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0.0145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-1.20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29.31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Length of stay (days)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Admissions (5,000)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5.49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2.87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8.26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-0.00885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-1.23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52.38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Bill amount (RWF)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Billing (60,000)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155,157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155,247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36,833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83,840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7,029,207,257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10,002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24,718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38,804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82,275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227,908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271,134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285,652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296,837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299,998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145,632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-0.00309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-1.21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54.04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Amount paid (RWF)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Payments (60,000)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139,824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129,822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129,528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83,370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6,950,588,556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5,002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20,556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32,341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68,694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210,240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264,199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282,129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296,143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299,998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141,546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0.255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-1.11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59.62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Outstanding balance (RWF)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Billing − Payments (60,000)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60000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15,332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36,038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1,298,742,598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76,387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113,261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142,715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149,991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2.33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4.19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235.04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Claim amount (RWF)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Insurance claims (42,036)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42036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116,135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111,422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42,625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67,812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4,598,533,237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5,173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17,900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28,056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59,154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165,175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211,879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236,447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270,767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298,533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106,021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0.329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-0.76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58.39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Claim ÷ bill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Insurance claims (42,036)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42036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0.75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0.749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0.144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0.0209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0.524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0.549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0.625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0.875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0.951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0.976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0.995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0.249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0.00343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-1.19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19.26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Satisfaction rating (1–5)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Feedback (21,064)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21064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2.99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1.41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0.013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-1.30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47.29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Staff experience (years)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All staff (1,250)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1250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12.93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7.17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51.45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19.00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0.017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-1.20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55.48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Appointments per doctor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Appointments × doctors (350)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350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14.29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3.68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13.56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10.00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16.00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19.00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21.00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28.00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4.00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0.373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0.411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25.78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Monthly revenue (M RWF)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Revenue summary (12)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94.39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89.60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66.69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25.60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655.26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66.69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68.42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70.51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78.17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99.08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132.85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139.34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144.48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145.76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20.91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0.956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-0.419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27.12</w:t>
            </w:r>
          </w:p>
        </w:tc>
      </w:tr>
      <w:tr>
        <w:tc>
          <w:tcPr>
            <w:tcW w:type="dxa" w:w="475"/>
          </w:tcPr>
          <w:p>
            <w:r/>
            <w:r>
              <w:rPr>
                <w:sz w:val="14"/>
              </w:rPr>
              <w:t>Monthly appointments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Revenue summary (12)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5,067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4,728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3,280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1,230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1,511,955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3,280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3,567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3,810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4,340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5,852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6,876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6,943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6,972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6,979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1,512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0.349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-1.06</w:t>
            </w:r>
          </w:p>
        </w:tc>
        <w:tc>
          <w:tcPr>
            <w:tcW w:type="dxa" w:w="475"/>
          </w:tcPr>
          <w:p>
            <w:r/>
            <w:r>
              <w:rPr>
                <w:sz w:val="14"/>
              </w:rPr>
              <w:t>24.27</w:t>
            </w:r>
          </w:p>
        </w:tc>
      </w:tr>
    </w:tbl>
    <w:p>
      <w:pPr>
        <w:spacing w:after="40"/>
      </w:pPr>
    </w:p>
    <w:p>
      <w:pPr>
        <w:pStyle w:val="Heading1"/>
      </w:pPr>
      <w:r>
        <w:t>3. Distributions</w:t>
      </w:r>
    </w:p>
    <w:p>
      <w:pPr>
        <w:pStyle w:val="Heading3"/>
      </w:pPr>
      <w:r>
        <w:t>Figure 18. Distributions of key numeric variables (dashed = median, dotted = quartiles)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80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19. Bill amount by disease severity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12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viol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Correlation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381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Pair</w:t>
            </w:r>
          </w:p>
        </w:tc>
        <w:tc>
          <w:tcPr>
            <w:tcW w:type="dxa" w:w="1587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98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907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Coefficient</w:t>
            </w:r>
          </w:p>
        </w:tc>
        <w:tc>
          <w:tcPr>
            <w:tcW w:type="dxa" w:w="79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p_value</w:t>
            </w:r>
          </w:p>
        </w:tc>
        <w:tc>
          <w:tcPr>
            <w:tcW w:type="dxa" w:w="907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567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Sig.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Age ↔ hospital admission (0/1)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Appointment cohort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5000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Point-biserial (Spearman ρ = 0.021)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0.021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0.129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Age ↔ billing amount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Appointment cohort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5000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Pearson (Spearman ρ = -0.003)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-0.003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0.859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Diagnosis ↔ length of stay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Admitted cohort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586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Kruskal-Wallis; η = 0.073 (ANOVA p = 0.544)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0.073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0.538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Department workload index ↔ mean satisfaction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200 departments (IDs)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Spearman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-0.024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0.731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 xml:space="preserve">  … same, 10 department types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10 department types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Spearman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0.225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0.532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weak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 xml:space="preserve">  … same, 20 facilities (appts per clinician)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20 facilities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Spearman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0.019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0.937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Monthly revenue ↔ monthly appointments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Revenue summary, 12 months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Pearson (Spearman ρ = 0.329)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0.285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weak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 xml:space="preserve">  … facility billed revenue ↔ appointments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20 facilities (cohort)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Pearson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0.896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8.95e-08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strong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Insurance code (15) ↔ healthcare utilisation (visited yes/no)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20,000 patients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20000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χ²; Cramér's V = 0.006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0.006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0.693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Claim coverage ratio ↔ bill amount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42,036 bills with claims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42036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Spearman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0.001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0.862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Claim filed (0/1) ↔ bill amount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60,000 bills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60000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Point-biserial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-0.006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0.155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negligible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3"/>
      </w:pPr>
      <w:r>
        <w:t>Figure 20. Spearman correlation heatmap — encounter master (pairwise complete observations)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76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6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21. Pair plot — age, BMI, bill amount, doctor experience by severity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084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pair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8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22. Admission rate by age group (95% CI)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13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age_admission_bill_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Admission and chronic-disease risk factors</w:t>
      </w:r>
    </w:p>
    <w:p>
      <w:pPr>
        <w:pStyle w:val="Heading3"/>
      </w:pPr>
      <w:r>
        <w:t>Figure 23. Association of each factor with admission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52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admission_driv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24. Chronic-disease prevalence by patient group with 95% Wilson CI (red = interval excludes overall 74.6%)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4635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4_chronic_risk_gro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Figure 25. Logistic regression: odds ratios for any chronic disease (95% bootstrap CI)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432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_chronic_odds_rat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3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Hypothesis tests</w:t>
      </w:r>
    </w:p>
    <w:p>
      <w:pPr>
        <w:spacing w:after="120"/>
      </w:pPr>
      <w:r>
        <w:rPr>
          <w:b w:val="0"/>
          <w:i w:val="0"/>
        </w:rPr>
        <w:t>Each test states H0 and H1, the test used, α, sample size, test statistic, p-value, effect size and decision. Holm-adjusted p-values control the family-wise error rate across all tests.</w:t>
      </w:r>
    </w:p>
    <w:p>
      <w:pPr>
        <w:pStyle w:val="Heading3"/>
      </w:pPr>
      <w:r>
        <w:t>H1. Do average bills differ between bills with an insurance claim and bills without? (100% of patients are insured, so 'uninsured' cannot be tested)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Mean bill (claim) = mean bill (no claim)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Mean bills differ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Welch two-sample t-test (Mann-Whitney U agrees: p = 0.155)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60,000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-1.42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0.154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-0.0127 (Cohen's 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0.154); effect size -0.013 is negligible. Mean bill 154,838 RWF with claim vs 155,903 RWF without (-1,065).</w:t>
            </w:r>
          </w:p>
        </w:tc>
      </w:tr>
    </w:tbl>
    <w:p>
      <w:pPr>
        <w:spacing w:after="40"/>
      </w:pPr>
    </w:p>
    <w:p>
      <w:pPr>
        <w:pStyle w:val="Heading3"/>
      </w:pPr>
      <w:r>
        <w:t>H1b. Do bills paid via the 'Insurance' method differ from other payment methods?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Mean bill equal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Mean bill 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Welch t-test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60,000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0.439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0.661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0.00414 (Cohen's 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0.661); effect size 0.004 is negligible. 155,417 vs 155,070 RWF.</w:t>
            </w:r>
          </w:p>
        </w:tc>
      </w:tr>
    </w:tbl>
    <w:p>
      <w:pPr>
        <w:spacing w:after="40"/>
      </w:pPr>
    </w:p>
    <w:p>
      <w:pPr>
        <w:pStyle w:val="Heading3"/>
      </w:pPr>
      <w:r>
        <w:t>H2. Does patient satisfaction differ across the 20 facilities?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Median rating identical in all facilities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At least one facility 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 (one-way ANOVA agrees: p = 0.785)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1,756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13.8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0.795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0.00786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0.795); effect size 0.008 is negligible. Facility means 2.76–3.19.</w:t>
            </w:r>
          </w:p>
        </w:tc>
      </w:tr>
    </w:tbl>
    <w:p>
      <w:pPr>
        <w:spacing w:after="40"/>
      </w:pPr>
    </w:p>
    <w:p>
      <w:pPr>
        <w:pStyle w:val="Heading3"/>
      </w:pPr>
      <w:r>
        <w:t>H2b. Does satisfaction differ across the 10 department types?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Median rating identical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At least one 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1,756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4.47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0.878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0.00255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0.878); effect size 0.003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H3. Do admission rates differ between age groups?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Admission rate equal across the 7 age groups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At least one age group 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of independence (df = 6)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11.9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0.0653 (0.98)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0.0487 (Cramér's V)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0.065); effect size 0.049 is negligible. Rates 9.4%–13.9%.</w:t>
            </w:r>
          </w:p>
        </w:tc>
      </w:tr>
    </w:tbl>
    <w:p>
      <w:pPr>
        <w:spacing w:after="40"/>
      </w:pPr>
    </w:p>
    <w:p>
      <w:pPr>
        <w:pStyle w:val="Heading3"/>
      </w:pPr>
      <w:r>
        <w:t>H4. Does satisfaction depend on disease severity?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Rating distribution identical across Mild/Moderate/Severe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21,064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0.36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0.835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1.71e-05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0.835); effect size 0.000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H5. Does length of stay differ by diagnosis?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Median LOS equal across diagnoses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At least one 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586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3.12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0.538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0.00533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0.538); effect size 0.005 is negligible. Mean LOS 5.3–5.9 d.</w:t>
            </w:r>
          </w:p>
        </w:tc>
      </w:tr>
    </w:tbl>
    <w:p>
      <w:pPr>
        <w:spacing w:after="40"/>
      </w:pPr>
    </w:p>
    <w:p>
      <w:pPr>
        <w:pStyle w:val="Heading3"/>
      </w:pPr>
      <w:r>
        <w:t>H6. Is satisfaction related to billing outcome (recorded bill status)?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Rating equal across Paid / Partially Paid / Pending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 (Spearman ρ rating vs paid ratio = -0.001, p = 0.893)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21,064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0.669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0.716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3.18e-05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0.716); effect size 0.000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H7. Are emergency visits admitted more often than other visits?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Admission proportion equal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Proportions differ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(2×2, Yates)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0.689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0.406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0.0117 (φ)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0.406); effect size 0.012 is negligible. Emergency 11.2% vs other 12.0%.</w:t>
            </w:r>
          </w:p>
        </w:tc>
      </w:tr>
    </w:tbl>
    <w:p>
      <w:pPr>
        <w:spacing w:after="40"/>
      </w:pPr>
    </w:p>
    <w:p>
      <w:pPr>
        <w:pStyle w:val="Heading3"/>
      </w:pPr>
      <w:r>
        <w:t>H8. Are severe cases admitted more often than mild cases?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Admission rate equal across severity levels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(df = 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5,000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1.26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0.533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0.0159 (Cramér's V)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0.533); effect size 0.016 is negligible. Rates: Mild 11.7%, Moderate 11.1%, Severe 12.4%</w:t>
            </w:r>
          </w:p>
        </w:tc>
      </w:tr>
    </w:tbl>
    <w:p>
      <w:pPr>
        <w:spacing w:after="40"/>
      </w:pPr>
    </w:p>
    <w:p>
      <w:pPr>
        <w:pStyle w:val="Heading3"/>
      </w:pPr>
      <w:r>
        <w:t>H9. Does chronic-disease prevalence differ by gender?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Prevalence equal for men and women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(2×2, Yates)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20,000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0.202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0.653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0.00318 (φ)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0.653); effect size 0.003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H10. Does chronic-disease prevalence differ by age group?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Prevalence equal across age groups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(df = 6)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20,000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5.71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0.456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0.0169 (Cramér's V)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0.456); effect size 0.017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H11. Is the written comment related to the numeric rating?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Comment independent of rating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Associated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of independence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21,064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6.24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0.904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0.00993 (Cramér's V)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No significant difference (p = 0.904); effect size 0.010 is negligible. A valid feedback instrument should show strong association.</w:t>
            </w:r>
          </w:p>
        </w:tc>
      </w:tr>
    </w:tbl>
    <w:p>
      <w:pPr>
        <w:spacing w:after="40"/>
      </w:pPr>
    </w:p>
    <w:p>
      <w:pPr>
        <w:pStyle w:val="Heading3"/>
      </w:pPr>
      <w:r>
        <w:t>H12. Does the claim approval rate differ between insurance providers?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Approval rate equal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χ² test (df = 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42,036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6.86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0.0766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0.0128 (Cramér's V)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0.077); effect size 0.013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H13. Does the share of the bill actually paid differ by payment method?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824"/>
            <w:shd w:val="clear" w:color="auto" w:fill="2A78D6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H0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Payment ratio equal across methods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Differs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Kruskal-Wallis 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α / 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0.05 / 60,000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Statistic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2.87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p-value (Holm)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0.412 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Effect size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4.79e-05 (ε² (rank))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Decision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>Fail to reject 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Conclusion</w:t>
            </w:r>
          </w:p>
        </w:tc>
        <w:tc>
          <w:tcPr>
            <w:tcW w:type="dxa" w:w="7824"/>
          </w:tcPr>
          <w:p>
            <w:r/>
            <w:r>
              <w:rPr>
                <w:sz w:val="17"/>
              </w:rPr>
              <w:t xml:space="preserve">No significant difference (p = 0.412); effect size 0.000 is negligible. </w:t>
            </w:r>
          </w:p>
        </w:tc>
      </w:tr>
    </w:tbl>
    <w:p>
      <w:pPr>
        <w:spacing w:after="40"/>
      </w:pPr>
    </w:p>
    <w:p>
      <w:pPr>
        <w:pStyle w:val="Heading3"/>
      </w:pPr>
      <w:r>
        <w:t>Figure 26. Hypothesis tests at a glance (red = significant at α = 0.05)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799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_hypothesis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99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78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78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