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A78D6"/>
          <w:sz w:val="44"/>
        </w:rPr>
        <w:t>Predictive Analytics Report</w:t>
      </w:r>
    </w:p>
    <w:p>
      <w:r>
        <w:rPr>
          <w:color w:val="555555"/>
          <w:sz w:val="22"/>
        </w:rPr>
        <w:t>Forecasting, classification, regression, clustering and PCA</w:t>
      </w:r>
    </w:p>
    <w:p>
      <w:r>
        <w:rPr>
          <w:i/>
          <w:sz w:val="18"/>
        </w:rPr>
        <w:t>HealthConnect Rwanda · AnalystLab Africa Experience Lab, Week 6 · Track 2: Healthcare Predictive Analytics and Population Health Intelligence</w:t>
      </w:r>
    </w:p>
    <w:p>
      <w:pPr>
        <w:pStyle w:val="Heading1"/>
      </w:pPr>
      <w:r>
        <w:t>1.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3061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948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Validation</w:t>
            </w:r>
          </w:p>
        </w:tc>
        <w:tc>
          <w:tcPr>
            <w:tcW w:type="dxa" w:w="181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Visit forecast (12 months)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Simple exponential smoothing ≈ 4,975 visits/month (≈59,700 in 2027)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MAPE 14.0% vs 15.3% for the historical mean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Useful only as a flat baseline; no trend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Revenue forecast (12 months)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≈ 1.10 bn RWF for 2027 (≈92 M/month)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MAPE 26% vs 27% for the mean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High uncertainty (95% band ±68%)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Admission prediction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Best CV AUC 0.514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Permutation p = 0.32; hold-out AUC 0.529 (0.47–0.59)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No predictive signal (chance = 0.50)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Satisfaction prediction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Best real-model R² -0.001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Permutation p = 0.44; hold-out R² -0.007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No predictive signal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Department workload forecast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Cardiology and Radiology highest (load index 109 and 105)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Monte-Carlo overload probability 26%–38%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Differences not significant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Clustering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Patients: 3 chronic-condition groups + none; Facilities: 2 volume-based groups; Departments: continuous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Silhouette 0.28 / 0.19 / 0.14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Weak structure; for peer grouping only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</w:rPr>
        <w:t>Method principle: every model is compared with a naive baseline and with a label-permutation null, using cross-validation and (for classification) a held-out test set. A model is only reported as useful if it beats those benchmarks. Statsmodels and Jupyter could not be installed in the analysis sandbox, so exponential-smoothing models were implemented directly in NumPy and the notebook was executed with a custom runner; the notebook file is a standard .ipynb with all outputs saved.</w:t>
      </w:r>
    </w:p>
    <w:p>
      <w:pPr>
        <w:pStyle w:val="Heading1"/>
      </w:pPr>
      <w:r>
        <w:t>2. Forecasting (visits, revenue, department workload)</w:t>
      </w:r>
    </w:p>
    <w:p>
      <w:pPr>
        <w:spacing w:after="120"/>
      </w:pPr>
      <w:r>
        <w:rPr>
          <w:b w:val="0"/>
          <w:i w:val="0"/>
        </w:rPr>
        <w:t>With only 12 monthly observations, models were chosen by rolling-origin back-testing (minimum 6 months training, horizons 1–3). The Mean, Naïve, Linear trend, Simple Exponential Smoothing and damped Holt models were compared; 95% bands come from back-test RMSE.</w:t>
      </w:r>
    </w:p>
    <w:p>
      <w:pPr>
        <w:pStyle w:val="Heading3"/>
      </w:pPr>
      <w:r>
        <w:t>Visit forecast back-test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type="dxa" w:w="2493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MAE</w:t>
            </w:r>
          </w:p>
        </w:tc>
        <w:tc>
          <w:tcPr>
            <w:tcW w:type="dxa" w:w="2493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RMSE</w:t>
            </w:r>
          </w:p>
        </w:tc>
        <w:tc>
          <w:tcPr>
            <w:tcW w:type="dxa" w:w="2493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MAPE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Simple exp. smoothing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736.67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978.51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14.04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Mean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758.79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903.47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15.28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Holt damped trend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1,112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1,427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21.17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Linear trend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1,167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1,491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21.65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Naïve (last value)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1,228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1,464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24.24</w:t>
            </w:r>
          </w:p>
        </w:tc>
      </w:tr>
    </w:tbl>
    <w:p>
      <w:pPr>
        <w:spacing w:after="40"/>
      </w:pPr>
    </w:p>
    <w:p>
      <w:pPr>
        <w:pStyle w:val="Heading3"/>
      </w:pPr>
      <w:r>
        <w:t>Revenue forecast back-test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type="dxa" w:w="2493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MAE</w:t>
            </w:r>
          </w:p>
        </w:tc>
        <w:tc>
          <w:tcPr>
            <w:tcW w:type="dxa" w:w="2493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RMSE</w:t>
            </w:r>
          </w:p>
        </w:tc>
        <w:tc>
          <w:tcPr>
            <w:tcW w:type="dxa" w:w="2493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MAPE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Simple exp. smoothing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26,183,534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31,781,845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25.56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Mean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26,980,202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31,897,882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27.00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Holt damped trend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27,143,406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32,295,130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27.16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Linear trend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31,476,605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36,232,057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33.37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Naïve (last value)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38,636,863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46,648,548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39.38</w:t>
            </w:r>
          </w:p>
        </w:tc>
      </w:tr>
    </w:tbl>
    <w:p>
      <w:pPr>
        <w:spacing w:after="40"/>
      </w:pPr>
    </w:p>
    <w:p>
      <w:pPr>
        <w:pStyle w:val="Heading3"/>
      </w:pPr>
      <w:r>
        <w:t>Figure 27. Monthly patient visits — 12-month forecast (Simple exp. smoothing)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07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7_forecast_visi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0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28. Monthly revenue — 12-month forecast (Simple exp. smoothing)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309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8_forecast_reve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30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29. Forecast 2027 visits per month by department 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076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9_department_workload_foreca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07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Department workload forecast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DepartmentName</w:t>
            </w:r>
          </w:p>
        </w:tc>
        <w:tc>
          <w:tcPr>
            <w:tcW w:type="dxa" w:w="1246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Share_of_visits</w:t>
            </w:r>
          </w:p>
        </w:tc>
        <w:tc>
          <w:tcPr>
            <w:tcW w:type="dxa" w:w="1246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Clinicians</w:t>
            </w:r>
          </w:p>
        </w:tc>
        <w:tc>
          <w:tcPr>
            <w:tcW w:type="dxa" w:w="1246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Fcst_visits_per_month</w:t>
            </w:r>
          </w:p>
        </w:tc>
        <w:tc>
          <w:tcPr>
            <w:tcW w:type="dxa" w:w="1246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Fcst_per_clinician</w:t>
            </w:r>
          </w:p>
        </w:tc>
        <w:tc>
          <w:tcPr>
            <w:tcW w:type="dxa" w:w="1246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P_overload</w:t>
            </w:r>
          </w:p>
        </w:tc>
        <w:tc>
          <w:tcPr>
            <w:tcW w:type="dxa" w:w="1246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Hist_WorkloadIndex</w:t>
            </w:r>
          </w:p>
        </w:tc>
        <w:tc>
          <w:tcPr>
            <w:tcW w:type="dxa" w:w="1246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Fcst_WorkloadIndex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6"/>
              </w:rPr>
              <w:t>Cardiology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0.11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541.29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5.16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0.38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108.80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108.80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6"/>
              </w:rPr>
              <w:t>Radiology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522.38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4.98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0.31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105.00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105.00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6"/>
              </w:rPr>
              <w:t>Obstetrics &amp; Gynecology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508.45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4.84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0.26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102.20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102.20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6"/>
              </w:rPr>
              <w:t>Laboratory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496.51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4.73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0.22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99.80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99.80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6"/>
              </w:rPr>
              <w:t>Emergency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492.53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4.69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0.21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99.00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99.00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6"/>
              </w:rPr>
              <w:t>Pediatrics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488.55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4.65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0.2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98.20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98.20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6"/>
              </w:rPr>
              <w:t>Pharmacy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487.55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4.64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0.19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98.00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98.00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6"/>
              </w:rPr>
              <w:t>Internal Medicine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487.55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4.64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0.19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98.00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98.00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6"/>
              </w:rPr>
              <w:t>Surgery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485.56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4.62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0.19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97.60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97.60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6"/>
              </w:rPr>
              <w:t>ICU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0.09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464.67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4.43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0.13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93.40</w:t>
            </w:r>
          </w:p>
        </w:tc>
        <w:tc>
          <w:tcPr>
            <w:tcW w:type="dxa" w:w="1246"/>
          </w:tcPr>
          <w:p>
            <w:r/>
            <w:r>
              <w:rPr>
                <w:sz w:val="16"/>
              </w:rPr>
              <w:t>93.40</w:t>
            </w:r>
          </w:p>
        </w:tc>
      </w:tr>
    </w:tbl>
    <w:p>
      <w:pPr>
        <w:spacing w:after="40"/>
      </w:pPr>
    </w:p>
    <w:p>
      <w:pPr>
        <w:pStyle w:val="Heading1"/>
      </w:pPr>
      <w:r>
        <w:t>3. Hospital admission prediction (classification)</w:t>
      </w:r>
    </w:p>
    <w:p>
      <w:pPr>
        <w:spacing w:after="120"/>
      </w:pPr>
      <w:r>
        <w:rPr>
          <w:b w:val="0"/>
          <w:i w:val="0"/>
        </w:rPr>
        <w:t>Three feature sets were tested: A booking-time information only; B adding diagnosis and severity; C adding labs, prescriptions and referral. Models: logistic regression, random forest, gradient boosting, against a prior-probability baseline (repeated stratified CV).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FeatureSet</w:t>
            </w:r>
          </w:p>
        </w:tc>
        <w:tc>
          <w:tcPr>
            <w:tcW w:type="dxa" w:w="1425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425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AUC</w:t>
            </w:r>
          </w:p>
        </w:tc>
        <w:tc>
          <w:tcPr>
            <w:tcW w:type="dxa" w:w="1425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AUC_sd</w:t>
            </w:r>
          </w:p>
        </w:tc>
        <w:tc>
          <w:tcPr>
            <w:tcW w:type="dxa" w:w="1425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PR_AUC</w:t>
            </w:r>
          </w:p>
        </w:tc>
        <w:tc>
          <w:tcPr>
            <w:tcW w:type="dxa" w:w="1425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Brier</w:t>
            </w:r>
          </w:p>
        </w:tc>
        <w:tc>
          <w:tcPr>
            <w:tcW w:type="dxa" w:w="1425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Brier_baseline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6"/>
              </w:rPr>
              <w:t>A  Booking-time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Baseline (prior)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0.5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0.117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0.103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6"/>
              </w:rPr>
              <w:t>A  Booking-time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0.514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0.024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0.129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0.104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6"/>
              </w:rPr>
              <w:t>A  Booking-time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0.504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0.022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0.126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0.104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6"/>
              </w:rPr>
              <w:t>A  Booking-time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Gradient boosting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0.502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0.031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0.125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0.104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6"/>
              </w:rPr>
              <w:t>B  + Diagnosis &amp; severity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Baseline (prior)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0.5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0.117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0.103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6"/>
              </w:rPr>
              <w:t>B  + Diagnosis &amp; severity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0.509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0.025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0.127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0.105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6"/>
              </w:rPr>
              <w:t>B  + Diagnosis &amp; severity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0.501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0.025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0.126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0.104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6"/>
              </w:rPr>
              <w:t>B  + Diagnosis &amp; severity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Gradient boosting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0.496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0.031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0.123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0.105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6"/>
              </w:rPr>
              <w:t>C  + Labs, Rx, referral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Baseline (prior)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0.5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0.117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0.103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6"/>
              </w:rPr>
              <w:t>C  + Labs, Rx, referral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0.51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0.023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0.126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0.105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6"/>
              </w:rPr>
              <w:t>C  + Labs, Rx, referral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0.5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0.025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0.123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0.104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6"/>
              </w:rPr>
              <w:t>C  + Labs, Rx, referral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Gradient boosting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0.496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0.032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0.123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0.105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0.103</w:t>
            </w:r>
          </w:p>
        </w:tc>
      </w:tr>
    </w:tbl>
    <w:p>
      <w:pPr>
        <w:spacing w:after="40"/>
      </w:pPr>
    </w:p>
    <w:p>
      <w:pPr>
        <w:pStyle w:val="Heading3"/>
      </w:pPr>
      <w:r>
        <w:t>Figure 30. Cross-validated AUC by model and feature set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357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0_admission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35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31. Permutation importance — admission model (drop in hold-out AUC when feature is shuffled)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250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1_admission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5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Patient satisfaction prediction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2A78D6"/>
          </w:tcPr>
          <w:p>
            <w:r/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1425"/>
            <w:shd w:val="clear" w:color="auto" w:fill="2A78D6"/>
          </w:tcPr>
          <w:p>
            <w:r/>
            <w:r>
              <w:rPr>
                <w:b/>
                <w:color w:val="FFFFFF"/>
                <w:sz w:val="15"/>
              </w:rPr>
              <w:t>Model</w:t>
            </w:r>
          </w:p>
        </w:tc>
        <w:tc>
          <w:tcPr>
            <w:tcW w:type="dxa" w:w="1425"/>
            <w:shd w:val="clear" w:color="auto" w:fill="2A78D6"/>
          </w:tcPr>
          <w:p>
            <w:r/>
            <w:r>
              <w:rPr>
                <w:b/>
                <w:color w:val="FFFFFF"/>
                <w:sz w:val="15"/>
              </w:rPr>
              <w:t>R2</w:t>
            </w:r>
          </w:p>
        </w:tc>
        <w:tc>
          <w:tcPr>
            <w:tcW w:type="dxa" w:w="1425"/>
            <w:shd w:val="clear" w:color="auto" w:fill="2A78D6"/>
          </w:tcPr>
          <w:p>
            <w:r/>
            <w:r>
              <w:rPr>
                <w:b/>
                <w:color w:val="FFFFFF"/>
                <w:sz w:val="15"/>
              </w:rPr>
              <w:t>R2_sd</w:t>
            </w:r>
          </w:p>
        </w:tc>
        <w:tc>
          <w:tcPr>
            <w:tcW w:type="dxa" w:w="1425"/>
            <w:shd w:val="clear" w:color="auto" w:fill="2A78D6"/>
          </w:tcPr>
          <w:p>
            <w:r/>
            <w:r>
              <w:rPr>
                <w:b/>
                <w:color w:val="FFFFFF"/>
                <w:sz w:val="15"/>
              </w:rPr>
              <w:t>MAE</w:t>
            </w:r>
          </w:p>
        </w:tc>
        <w:tc>
          <w:tcPr>
            <w:tcW w:type="dxa" w:w="1425"/>
            <w:shd w:val="clear" w:color="auto" w:fill="2A78D6"/>
          </w:tcPr>
          <w:p>
            <w:r/>
            <w:r>
              <w:rPr>
                <w:b/>
                <w:color w:val="FFFFFF"/>
                <w:sz w:val="15"/>
              </w:rPr>
              <w:t>AUC</w:t>
            </w:r>
          </w:p>
        </w:tc>
        <w:tc>
          <w:tcPr>
            <w:tcW w:type="dxa" w:w="1425"/>
            <w:shd w:val="clear" w:color="auto" w:fill="2A78D6"/>
          </w:tcPr>
          <w:p>
            <w:r/>
            <w:r>
              <w:rPr>
                <w:b/>
                <w:color w:val="FFFFFF"/>
                <w:sz w:val="15"/>
              </w:rPr>
              <w:t>AUC_sd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Scope 1 – all feedback (n=21,064)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Baseline (mean)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-0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1.20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Scope 1 – all feedback (n=21,064)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Ridge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-0.001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0.001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1.21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Scope 1 – all feedback (n=21,064)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Random forest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-0.005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0.002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1.21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Scope 1 – all feedback (n=21,064)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Gradient boosting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-0.001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0.001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1.20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Scope 1 – all feedback (n=21,064)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Logistic regression → P(rating ≥ 4)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0.498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0.008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Scope 1 – all feedback (n=21,064)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Gradient boosting → P(rating ≥ 4)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0.5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0.005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Scope 2 – cohort + operational (n=1,756)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Baseline (mean)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-0.003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0.003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1.18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Scope 2 – cohort + operational (n=1,756)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Ridge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-0.029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0.019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1.20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Scope 2 – cohort + operational (n=1,756)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Random forest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-0.009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0.01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1.18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Scope 2 – cohort + operational (n=1,756)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Gradient boosting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-0.025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0.011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1.20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Scope 2 – cohort + operational (n=1,756)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Logistic regression → P(rating ≥ 4)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0.509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0.022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Scope 2 – cohort + operational (n=1,756)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Gradient boosting → P(rating ≥ 4)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0.496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0.027</w:t>
            </w:r>
          </w:p>
        </w:tc>
      </w:tr>
    </w:tbl>
    <w:p>
      <w:pPr>
        <w:spacing w:after="40"/>
      </w:pPr>
    </w:p>
    <w:p>
      <w:pPr>
        <w:pStyle w:val="Heading3"/>
      </w:pPr>
      <w:r>
        <w:t>Figure 32. Cross-validated R² for predicting rating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2613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2_satisfaction_mod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61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Clustering and segmentation</w:t>
      </w:r>
    </w:p>
    <w:p>
      <w:pPr>
        <w:spacing w:after="120"/>
      </w:pPr>
      <w:r>
        <w:rPr>
          <w:b w:val="0"/>
          <w:i w:val="0"/>
        </w:rPr>
        <w:t>Patients: silhouette peaks at 0.28 (k = 8) against 0.21 for shuffled data. The 4-segment solution simply reproduces the chronic-condition indicators. High-risk shares are 38–39% in each condition group and 18% in the no-chronic-disease group.</w:t>
      </w:r>
    </w:p>
    <w:p>
      <w:pPr>
        <w:pStyle w:val="Heading3"/>
      </w:pPr>
      <w:r>
        <w:t>Patient segments (k = 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Label</w:t>
            </w:r>
          </w:p>
        </w:tc>
        <w:tc>
          <w:tcPr>
            <w:tcW w:type="dxa" w:w="1108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Patients</w:t>
            </w:r>
          </w:p>
        </w:tc>
        <w:tc>
          <w:tcPr>
            <w:tcW w:type="dxa" w:w="1108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MeanAge</w:t>
            </w:r>
          </w:p>
        </w:tc>
        <w:tc>
          <w:tcPr>
            <w:tcW w:type="dxa" w:w="1108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MeanBMI</w:t>
            </w:r>
          </w:p>
        </w:tc>
        <w:tc>
          <w:tcPr>
            <w:tcW w:type="dxa" w:w="1108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Female</w:t>
            </w:r>
          </w:p>
        </w:tc>
        <w:tc>
          <w:tcPr>
            <w:tcW w:type="dxa" w:w="1108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MeanVisits</w:t>
            </w:r>
          </w:p>
        </w:tc>
        <w:tc>
          <w:tcPr>
            <w:tcW w:type="dxa" w:w="1108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HighRisk</w:t>
            </w:r>
          </w:p>
        </w:tc>
        <w:tc>
          <w:tcPr>
            <w:tcW w:type="dxa" w:w="1108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AdmitRate</w:t>
            </w:r>
          </w:p>
        </w:tc>
        <w:tc>
          <w:tcPr>
            <w:tcW w:type="dxa" w:w="1108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108"/>
          </w:tcPr>
          <w:p>
            <w:r/>
            <w:r>
              <w:rPr>
                <w:sz w:val="16"/>
              </w:rPr>
              <w:t>S1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4996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45.25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30.10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0.495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0.252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0.389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0.129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high asthma, low hypertension</w:t>
            </w:r>
          </w:p>
        </w:tc>
      </w:tr>
      <w:tr>
        <w:tc>
          <w:tcPr>
            <w:tcW w:type="dxa" w:w="1108"/>
          </w:tcPr>
          <w:p>
            <w:r/>
            <w:r>
              <w:rPr>
                <w:sz w:val="16"/>
              </w:rPr>
              <w:t>S2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4988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44.72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30.12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0.492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0.253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0.384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0.136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high hypertension, low asthma</w:t>
            </w:r>
          </w:p>
        </w:tc>
      </w:tr>
      <w:tr>
        <w:tc>
          <w:tcPr>
            <w:tcW w:type="dxa" w:w="1108"/>
          </w:tcPr>
          <w:p>
            <w:r/>
            <w:r>
              <w:rPr>
                <w:sz w:val="16"/>
              </w:rPr>
              <w:t>S3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4945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44.66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29.98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0.496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0.246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0.38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0.135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high diabetes, low asthma</w:t>
            </w:r>
          </w:p>
        </w:tc>
      </w:tr>
      <w:tr>
        <w:tc>
          <w:tcPr>
            <w:tcW w:type="dxa" w:w="1108"/>
          </w:tcPr>
          <w:p>
            <w:r/>
            <w:r>
              <w:rPr>
                <w:sz w:val="16"/>
              </w:rPr>
              <w:t>S4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5071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45.50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29.98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0.498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0.249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0.183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0.121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low asthma, low hypertension</w:t>
            </w:r>
          </w:p>
        </w:tc>
      </w:tr>
    </w:tbl>
    <w:p>
      <w:pPr>
        <w:spacing w:after="40"/>
      </w:pPr>
    </w:p>
    <w:p>
      <w:pPr>
        <w:pStyle w:val="Heading3"/>
      </w:pPr>
      <w:r>
        <w:t>Facility clusters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Cluster</w:t>
            </w:r>
          </w:p>
        </w:tc>
        <w:tc>
          <w:tcPr>
            <w:tcW w:type="dxa" w:w="1108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Facilities</w:t>
            </w:r>
          </w:p>
        </w:tc>
        <w:tc>
          <w:tcPr>
            <w:tcW w:type="dxa" w:w="1108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Appointments</w:t>
            </w:r>
          </w:p>
        </w:tc>
        <w:tc>
          <w:tcPr>
            <w:tcW w:type="dxa" w:w="1108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ApptPerClinician</w:t>
            </w:r>
          </w:p>
        </w:tc>
        <w:tc>
          <w:tcPr>
            <w:tcW w:type="dxa" w:w="1108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StaffPer1000Pts</w:t>
            </w:r>
          </w:p>
        </w:tc>
        <w:tc>
          <w:tcPr>
            <w:tcW w:type="dxa" w:w="1108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MeanRating</w:t>
            </w:r>
          </w:p>
        </w:tc>
        <w:tc>
          <w:tcPr>
            <w:tcW w:type="dxa" w:w="1108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CollectionRate</w:t>
            </w:r>
          </w:p>
        </w:tc>
        <w:tc>
          <w:tcPr>
            <w:tcW w:type="dxa" w:w="1108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PerformanceScore</w:t>
            </w:r>
          </w:p>
        </w:tc>
        <w:tc>
          <w:tcPr>
            <w:tcW w:type="dxa" w:w="1108"/>
            <w:shd w:val="clear" w:color="auto" w:fill="2A78D6"/>
          </w:tcPr>
          <w:p>
            <w:r/>
            <w:r>
              <w:rPr>
                <w:b/>
                <w:color w:val="FFFFFF"/>
                <w:sz w:val="16"/>
              </w:rPr>
              <w:t>Members</w:t>
            </w:r>
          </w:p>
        </w:tc>
      </w:tr>
      <w:tr>
        <w:tc>
          <w:tcPr>
            <w:tcW w:type="dxa" w:w="110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267.89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5.11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234.44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2.96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0.91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71.29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01, 06, 08, 10, 11, 12, 13, 14, 16</w:t>
            </w:r>
          </w:p>
        </w:tc>
      </w:tr>
      <w:tr>
        <w:tc>
          <w:tcPr>
            <w:tcW w:type="dxa" w:w="110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235.36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4.48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268.68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2.89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35.90</w:t>
            </w:r>
          </w:p>
        </w:tc>
        <w:tc>
          <w:tcPr>
            <w:tcW w:type="dxa" w:w="1108"/>
          </w:tcPr>
          <w:p>
            <w:r/>
            <w:r>
              <w:rPr>
                <w:sz w:val="16"/>
              </w:rPr>
              <w:t>02, 03, 04, 05, 07, 09, 15, 17, 18, 19, 20</w:t>
            </w:r>
          </w:p>
        </w:tc>
      </w:tr>
    </w:tbl>
    <w:p>
      <w:pPr>
        <w:spacing w:after="40"/>
      </w:pPr>
    </w:p>
    <w:p>
      <w:pPr>
        <w:pStyle w:val="Heading3"/>
      </w:pPr>
      <w:r>
        <w:t>Figure 33. Patients: silhouette vs null, by number of clusters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2106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3_patient_clust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10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34. Ward hierarchical clustering of facilities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375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4_facility_clust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37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35. Departments: silhouette vs null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276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5_department_clust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2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Principal Component Analysis (optional)</w:t>
      </w:r>
    </w:p>
    <w:p>
      <w:pPr>
        <w:pStyle w:val="Heading3"/>
      </w:pPr>
      <w:r>
        <w:t>Figure 36. Patients: scree plot and cumulative variance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2795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6_pc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7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Limitations and what would make the models work</w:t>
      </w:r>
    </w:p>
    <w:p>
      <w:pPr>
        <w:pStyle w:val="ListBullet"/>
        <w:spacing w:after="40"/>
      </w:pPr>
      <w:r>
        <w:t>Outcomes are statistically independent of all recorded drivers, so no algorithm can predict them; the models were run to prove this rigorously, not to force a result.</w:t>
      </w:r>
    </w:p>
    <w:p>
      <w:pPr>
        <w:pStyle w:val="ListBullet"/>
        <w:spacing w:after="40"/>
      </w:pPr>
      <w:r>
        <w:t>Only 12 months of aggregate history: seasonality and trend cannot be assessed; forecasts are flat baselines with wide bands.</w:t>
      </w:r>
    </w:p>
    <w:p>
      <w:pPr>
        <w:pStyle w:val="ListBullet"/>
        <w:spacing w:after="40"/>
      </w:pPr>
      <w:r>
        <w:t>Only 5,000 of 60,000 visits have an appointment record, and facility/department/doctor links are inconsistent.</w:t>
      </w:r>
    </w:p>
    <w:p>
      <w:pPr>
        <w:pStyle w:val="ListBullet"/>
        <w:spacing w:after="40"/>
      </w:pPr>
      <w:r>
        <w:t>To enable genuine prediction: collect longitudinal patient histories, wait times, readmission and discharge outcomes, richer feedback items, and 24+ months of data.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A78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A78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A78D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